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E6DF3">
      <w:pPr>
        <w:autoSpaceDE w:val="0"/>
        <w:autoSpaceDN w:val="0"/>
        <w:adjustRightInd w:val="0"/>
        <w:spacing w:line="360" w:lineRule="auto"/>
        <w:jc w:val="left"/>
        <w:rPr>
          <w:rFonts w:eastAsiaTheme="minorEastAsia"/>
          <w:color w:val="000000" w:themeColor="text1"/>
          <w:kern w:val="0"/>
          <w:szCs w:val="21"/>
        </w:rPr>
      </w:pP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上投摩根岁岁益定期开放债券型证券投资基金</w:t>
      </w:r>
    </w:p>
    <w:p w:rsidR="005E6DF3" w:rsidRDefault="005C671B">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2021</w:t>
      </w:r>
      <w:r>
        <w:rPr>
          <w:rFonts w:eastAsiaTheme="minorEastAsia"/>
          <w:b/>
          <w:color w:val="000000" w:themeColor="text1"/>
          <w:sz w:val="36"/>
          <w:szCs w:val="36"/>
        </w:rPr>
        <w:t>年第</w:t>
      </w:r>
      <w:r>
        <w:rPr>
          <w:rFonts w:eastAsiaTheme="minorEastAsia"/>
          <w:b/>
          <w:color w:val="000000" w:themeColor="text1"/>
          <w:sz w:val="36"/>
          <w:szCs w:val="36"/>
        </w:rPr>
        <w:t>1</w:t>
      </w:r>
      <w:r>
        <w:rPr>
          <w:rFonts w:eastAsiaTheme="minorEastAsia"/>
          <w:b/>
          <w:color w:val="000000" w:themeColor="text1"/>
          <w:sz w:val="36"/>
          <w:szCs w:val="36"/>
        </w:rPr>
        <w:t>季度报告</w:t>
      </w:r>
    </w:p>
    <w:p w:rsidR="005E6DF3" w:rsidRDefault="005C671B">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3</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jc w:val="center"/>
        <w:rPr>
          <w:rFonts w:eastAsiaTheme="minorEastAsia"/>
          <w:b/>
          <w:color w:val="000000" w:themeColor="text1"/>
          <w:szCs w:val="21"/>
        </w:rPr>
      </w:pPr>
    </w:p>
    <w:p w:rsidR="005E6DF3" w:rsidRDefault="005E6DF3">
      <w:pPr>
        <w:spacing w:line="360" w:lineRule="auto"/>
        <w:rPr>
          <w:rFonts w:eastAsiaTheme="minorEastAsia"/>
          <w:b/>
          <w:color w:val="000000" w:themeColor="text1"/>
          <w:szCs w:val="21"/>
        </w:rPr>
      </w:pP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5E6DF3" w:rsidRDefault="005C671B">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基金托管人：交通银行股份有限公司</w:t>
      </w:r>
    </w:p>
    <w:p w:rsidR="005E6DF3" w:rsidRDefault="005C671B">
      <w:pPr>
        <w:spacing w:line="360" w:lineRule="auto"/>
        <w:ind w:firstLineChars="900" w:firstLine="2168"/>
        <w:rPr>
          <w:rFonts w:eastAsiaTheme="minorEastAsia"/>
          <w:color w:val="000000" w:themeColor="text1"/>
          <w:szCs w:val="21"/>
        </w:rPr>
        <w:sectPr w:rsidR="005E6DF3">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报告送出日期：二〇二一年四月二十二日</w:t>
      </w:r>
    </w:p>
    <w:p w:rsidR="005E6DF3" w:rsidRDefault="005C671B">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上投摩根岁岁益定期开放债券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004627</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契约型定期开放式</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1,574,478,175.60</w:t>
            </w:r>
            <w:r>
              <w:rPr>
                <w:rFonts w:eastAsiaTheme="minorEastAsia"/>
                <w:color w:val="000000" w:themeColor="text1"/>
                <w:kern w:val="0"/>
                <w:szCs w:val="21"/>
              </w:rPr>
              <w:t>份</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在合理充分的定量分析及定性研究基础上，在风险可控的原则下，通过参与固定收益类资产的投资封闭运作，力争获取超越基准的稳健回报。</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、债券类属配置策略</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平、市场流动性、市场风险等因素进行分析，研究同期限的国债、金融债、企业债、交易所和银行间市场投资品种的利差和变化趋势，评估不同债券板块之间的相对投资价值，确定债券类属配置策略，并根据市场变化及时进行调</w:t>
            </w:r>
            <w:r>
              <w:rPr>
                <w:rFonts w:eastAsiaTheme="minorEastAsia"/>
                <w:color w:val="000000" w:themeColor="text1"/>
                <w:kern w:val="0"/>
                <w:szCs w:val="21"/>
              </w:rPr>
              <w:lastRenderedPageBreak/>
              <w:t>整。</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、久期管理策略</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市场利率的变化趋势的预判，相应的调整债券组合的久期。本基金通过对影响债券投资的宏观经济变量和宏观经济政策等因素的综合分析，预测未来的市场利率的变动趋势，判断债券市场对上述因素及其变化的反应，并据此积极调整债券组合的久期。</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、收益率曲线策略</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、信用策略</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深入挖掘信用债的投资价值，在承担适度风险的前提下追求较高收益。本基金将利用内部信用评级体系对债券发行人及其发行的债券进行信用评估，并结合外部评级机构的信用评级，分析违约风险以及合理信用利差水平，判断债券的投资价值，谨慎选择债券发行人基本面良好、债券条款优惠的信用债进行投资。</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、回购策略</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回购利率和现券收益率以及其他投资品种收益率的比较，通过回购融入短期资金滚动操作，投资于收益率高于回购成本的债券以及其他获利机会，从而获得杠杆放大收益，并根据市场利率水平以及对利率期限结构的预期等，对回购放大的杠杆比例适时进行调整。</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、中小企业私募债券投资策略</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基金投资中小企业私募债券，基金管理人将根据审慎原</w:t>
            </w:r>
            <w:r>
              <w:rPr>
                <w:rFonts w:eastAsiaTheme="minorEastAsia"/>
                <w:color w:val="000000" w:themeColor="text1"/>
                <w:kern w:val="0"/>
                <w:szCs w:val="21"/>
              </w:rPr>
              <w:lastRenderedPageBreak/>
              <w:t>则，制定严格的投资决策流程、风险控制制度和信用风险、流动性风险处置预案，其中，投资决策流程和风险控制制度需经董事会批准，以防范信用风险、流动性风险等各种风险。</w:t>
            </w:r>
          </w:p>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、资产支持证券投资策略</w:t>
            </w:r>
            <w:r>
              <w:rPr>
                <w:rFonts w:eastAsiaTheme="minorEastAsia"/>
                <w:color w:val="000000" w:themeColor="text1"/>
                <w:kern w:val="0"/>
                <w:szCs w:val="21"/>
              </w:rPr>
              <w:t xml:space="preserve"> </w:t>
            </w:r>
          </w:p>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严格控制组合投资风险的前提下投资于资产支持证券。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中债总指数</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DE740C" w:rsidRDefault="00A9352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根据</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交通银行股份有限公司</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上投摩根岁岁益定期开放债券</w:t>
            </w:r>
            <w:r>
              <w:rPr>
                <w:rFonts w:eastAsiaTheme="minorEastAsia"/>
                <w:color w:val="000000" w:themeColor="text1"/>
                <w:szCs w:val="21"/>
              </w:rPr>
              <w:t>A</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上投摩根岁岁益定期开放债券</w:t>
            </w:r>
            <w:r>
              <w:rPr>
                <w:rFonts w:eastAsiaTheme="minorEastAsia"/>
                <w:color w:val="000000" w:themeColor="text1"/>
                <w:szCs w:val="21"/>
              </w:rPr>
              <w:t>C</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t>004627</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004628</w:t>
            </w:r>
          </w:p>
        </w:tc>
      </w:tr>
      <w:tr w:rsidR="005E6DF3">
        <w:tc>
          <w:tcPr>
            <w:tcW w:w="2835" w:type="dxa"/>
            <w:vAlign w:val="center"/>
          </w:tcPr>
          <w:p w:rsidR="005E6DF3" w:rsidRDefault="005C671B">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w:t>
            </w:r>
            <w:r>
              <w:rPr>
                <w:rFonts w:eastAsiaTheme="minorEastAsia"/>
                <w:color w:val="000000" w:themeColor="text1"/>
                <w:szCs w:val="21"/>
              </w:rPr>
              <w:lastRenderedPageBreak/>
              <w:t>额总额</w:t>
            </w:r>
          </w:p>
        </w:tc>
        <w:tc>
          <w:tcPr>
            <w:tcW w:w="2739" w:type="dxa"/>
            <w:vAlign w:val="center"/>
          </w:tcPr>
          <w:p w:rsidR="005E6DF3" w:rsidRDefault="005C671B">
            <w:pPr>
              <w:rPr>
                <w:rFonts w:eastAsiaTheme="minorEastAsia"/>
                <w:color w:val="000000" w:themeColor="text1"/>
                <w:szCs w:val="21"/>
              </w:rPr>
            </w:pPr>
            <w:r>
              <w:rPr>
                <w:rFonts w:eastAsiaTheme="minorEastAsia"/>
                <w:color w:val="000000" w:themeColor="text1"/>
                <w:szCs w:val="21"/>
              </w:rPr>
              <w:lastRenderedPageBreak/>
              <w:t>1,421,641,021.98</w:t>
            </w:r>
            <w:r>
              <w:rPr>
                <w:rFonts w:eastAsiaTheme="minorEastAsia"/>
                <w:color w:val="000000" w:themeColor="text1"/>
                <w:kern w:val="0"/>
                <w:szCs w:val="21"/>
              </w:rPr>
              <w:t>份</w:t>
            </w:r>
          </w:p>
        </w:tc>
        <w:tc>
          <w:tcPr>
            <w:tcW w:w="2740" w:type="dxa"/>
            <w:vAlign w:val="center"/>
          </w:tcPr>
          <w:p w:rsidR="005E6DF3" w:rsidRDefault="005C671B">
            <w:pPr>
              <w:rPr>
                <w:rFonts w:eastAsiaTheme="minorEastAsia"/>
                <w:color w:val="000000" w:themeColor="text1"/>
                <w:szCs w:val="21"/>
              </w:rPr>
            </w:pPr>
            <w:r>
              <w:rPr>
                <w:rFonts w:eastAsiaTheme="minorEastAsia"/>
                <w:color w:val="000000" w:themeColor="text1"/>
                <w:szCs w:val="21"/>
              </w:rPr>
              <w:t>152,837,153.62</w:t>
            </w:r>
            <w:r>
              <w:rPr>
                <w:rFonts w:eastAsiaTheme="minorEastAsia"/>
                <w:color w:val="000000" w:themeColor="text1"/>
                <w:kern w:val="0"/>
                <w:szCs w:val="21"/>
              </w:rPr>
              <w:t>份</w:t>
            </w:r>
          </w:p>
        </w:tc>
      </w:tr>
    </w:tbl>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tc>
          <w:tcPr>
            <w:tcW w:w="3402" w:type="dxa"/>
            <w:vMerge w:val="restart"/>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5E6DF3">
        <w:tc>
          <w:tcPr>
            <w:tcW w:w="3402" w:type="dxa"/>
            <w:vMerge/>
            <w:vAlign w:val="center"/>
          </w:tcPr>
          <w:p w:rsidR="005E6DF3"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上投摩根岁岁益定期开放债券</w:t>
            </w:r>
            <w:r>
              <w:rPr>
                <w:rFonts w:eastAsiaTheme="minorEastAsia"/>
                <w:color w:val="000000" w:themeColor="text1"/>
                <w:szCs w:val="21"/>
              </w:rPr>
              <w:t>A</w:t>
            </w:r>
          </w:p>
        </w:tc>
        <w:tc>
          <w:tcPr>
            <w:tcW w:w="2481" w:type="dxa"/>
            <w:vAlign w:val="center"/>
          </w:tcPr>
          <w:p w:rsidR="005E6DF3" w:rsidRDefault="005C671B">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上投摩根岁岁益定期开放债券</w:t>
            </w:r>
            <w:r>
              <w:rPr>
                <w:rFonts w:eastAsiaTheme="minorEastAsia"/>
                <w:color w:val="000000" w:themeColor="text1"/>
                <w:szCs w:val="21"/>
              </w:rPr>
              <w:t>C</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-56,452,316.71</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-6,142,506.90</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-32,500,220.52</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-3,592,508.38</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-0.0229</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-0.0235</w:t>
            </w:r>
          </w:p>
        </w:tc>
      </w:tr>
      <w:tr w:rsidR="005E6DF3">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1,415,735,087.17</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150,697,849.14</w:t>
            </w:r>
          </w:p>
        </w:tc>
      </w:tr>
      <w:tr w:rsidR="005E6DF3">
        <w:trPr>
          <w:trHeight w:val="158"/>
        </w:trPr>
        <w:tc>
          <w:tcPr>
            <w:tcW w:w="3402" w:type="dxa"/>
            <w:vAlign w:val="center"/>
          </w:tcPr>
          <w:p w:rsidR="005E6DF3" w:rsidRDefault="005C671B">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0.9958</w:t>
            </w:r>
          </w:p>
        </w:tc>
        <w:tc>
          <w:tcPr>
            <w:tcW w:w="2481" w:type="dxa"/>
            <w:vAlign w:val="center"/>
          </w:tcPr>
          <w:p w:rsidR="005E6DF3" w:rsidRDefault="005C671B">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0.9860</w:t>
            </w:r>
          </w:p>
        </w:tc>
      </w:tr>
    </w:tbl>
    <w:p w:rsidR="00DE740C" w:rsidRDefault="00A935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5E6DF3" w:rsidRDefault="005C671B">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上投摩根岁岁益定期开放债券</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DE740C">
        <w:tc>
          <w:tcPr>
            <w:tcW w:w="1290" w:type="dxa"/>
            <w:vAlign w:val="center"/>
          </w:tcPr>
          <w:p w:rsidR="00DE740C" w:rsidRDefault="00A93524">
            <w:pPr>
              <w:jc w:val="left"/>
            </w:pPr>
            <w:r>
              <w:rPr>
                <w:rFonts w:eastAsiaTheme="minorEastAsia"/>
                <w:color w:val="000000" w:themeColor="text1"/>
                <w:szCs w:val="21"/>
              </w:rPr>
              <w:t>过去三个月</w:t>
            </w:r>
          </w:p>
        </w:tc>
        <w:tc>
          <w:tcPr>
            <w:tcW w:w="1291" w:type="dxa"/>
            <w:vAlign w:val="center"/>
          </w:tcPr>
          <w:p w:rsidR="00DE740C" w:rsidRDefault="00A93524">
            <w:pPr>
              <w:jc w:val="right"/>
            </w:pPr>
            <w:r>
              <w:rPr>
                <w:rFonts w:eastAsiaTheme="minorEastAsia"/>
                <w:color w:val="000000" w:themeColor="text1"/>
                <w:szCs w:val="21"/>
              </w:rPr>
              <w:t>-2.25%</w:t>
            </w:r>
          </w:p>
        </w:tc>
        <w:tc>
          <w:tcPr>
            <w:tcW w:w="1291" w:type="dxa"/>
            <w:vAlign w:val="center"/>
          </w:tcPr>
          <w:p w:rsidR="00DE740C" w:rsidRDefault="00A93524">
            <w:pPr>
              <w:jc w:val="right"/>
            </w:pPr>
            <w:r>
              <w:rPr>
                <w:rFonts w:eastAsiaTheme="minorEastAsia"/>
                <w:color w:val="000000" w:themeColor="text1"/>
                <w:szCs w:val="21"/>
              </w:rPr>
              <w:t>0.20%</w:t>
            </w:r>
          </w:p>
        </w:tc>
        <w:tc>
          <w:tcPr>
            <w:tcW w:w="1291" w:type="dxa"/>
            <w:vAlign w:val="center"/>
          </w:tcPr>
          <w:p w:rsidR="00DE740C" w:rsidRDefault="00A93524">
            <w:pPr>
              <w:jc w:val="right"/>
            </w:pPr>
            <w:r>
              <w:rPr>
                <w:rFonts w:eastAsiaTheme="minorEastAsia"/>
                <w:color w:val="000000" w:themeColor="text1"/>
                <w:szCs w:val="21"/>
              </w:rPr>
              <w:t>-0.21%</w:t>
            </w:r>
          </w:p>
        </w:tc>
        <w:tc>
          <w:tcPr>
            <w:tcW w:w="1291" w:type="dxa"/>
            <w:vAlign w:val="center"/>
          </w:tcPr>
          <w:p w:rsidR="00DE740C" w:rsidRDefault="00A93524">
            <w:pPr>
              <w:jc w:val="right"/>
            </w:pPr>
            <w:r>
              <w:rPr>
                <w:rFonts w:eastAsiaTheme="minorEastAsia"/>
                <w:color w:val="000000" w:themeColor="text1"/>
                <w:szCs w:val="21"/>
              </w:rPr>
              <w:t>0.08%</w:t>
            </w:r>
          </w:p>
        </w:tc>
        <w:tc>
          <w:tcPr>
            <w:tcW w:w="1291" w:type="dxa"/>
            <w:vAlign w:val="center"/>
          </w:tcPr>
          <w:p w:rsidR="00DE740C" w:rsidRDefault="00A93524">
            <w:pPr>
              <w:jc w:val="right"/>
            </w:pPr>
            <w:r>
              <w:rPr>
                <w:rFonts w:eastAsiaTheme="minorEastAsia"/>
                <w:color w:val="000000" w:themeColor="text1"/>
                <w:szCs w:val="21"/>
              </w:rPr>
              <w:t>-2.04%</w:t>
            </w:r>
          </w:p>
        </w:tc>
        <w:tc>
          <w:tcPr>
            <w:tcW w:w="1291" w:type="dxa"/>
            <w:vAlign w:val="center"/>
          </w:tcPr>
          <w:p w:rsidR="00DE740C" w:rsidRDefault="00A93524">
            <w:pPr>
              <w:jc w:val="right"/>
            </w:pPr>
            <w:r>
              <w:rPr>
                <w:rFonts w:eastAsiaTheme="minorEastAsia"/>
                <w:color w:val="000000" w:themeColor="text1"/>
                <w:szCs w:val="21"/>
              </w:rPr>
              <w:t>0.12%</w:t>
            </w:r>
          </w:p>
        </w:tc>
      </w:tr>
      <w:tr w:rsidR="00DE740C">
        <w:tc>
          <w:tcPr>
            <w:tcW w:w="1290" w:type="dxa"/>
            <w:vAlign w:val="center"/>
          </w:tcPr>
          <w:p w:rsidR="00DE740C" w:rsidRDefault="00A93524">
            <w:pPr>
              <w:jc w:val="left"/>
            </w:pPr>
            <w:r>
              <w:rPr>
                <w:rFonts w:eastAsiaTheme="minorEastAsia"/>
                <w:color w:val="000000" w:themeColor="text1"/>
                <w:szCs w:val="21"/>
              </w:rPr>
              <w:t>过去六个月</w:t>
            </w:r>
          </w:p>
        </w:tc>
        <w:tc>
          <w:tcPr>
            <w:tcW w:w="1291" w:type="dxa"/>
            <w:vAlign w:val="center"/>
          </w:tcPr>
          <w:p w:rsidR="00DE740C" w:rsidRDefault="00A93524">
            <w:pPr>
              <w:jc w:val="right"/>
            </w:pPr>
            <w:r>
              <w:rPr>
                <w:rFonts w:eastAsiaTheme="minorEastAsia"/>
                <w:color w:val="000000" w:themeColor="text1"/>
                <w:szCs w:val="21"/>
              </w:rPr>
              <w:t>-1.42%</w:t>
            </w:r>
          </w:p>
        </w:tc>
        <w:tc>
          <w:tcPr>
            <w:tcW w:w="1291" w:type="dxa"/>
            <w:vAlign w:val="center"/>
          </w:tcPr>
          <w:p w:rsidR="00DE740C" w:rsidRDefault="00A93524">
            <w:pPr>
              <w:jc w:val="right"/>
            </w:pPr>
            <w:r>
              <w:rPr>
                <w:rFonts w:eastAsiaTheme="minorEastAsia"/>
                <w:color w:val="000000" w:themeColor="text1"/>
                <w:szCs w:val="21"/>
              </w:rPr>
              <w:t>0.14%</w:t>
            </w:r>
          </w:p>
        </w:tc>
        <w:tc>
          <w:tcPr>
            <w:tcW w:w="1291" w:type="dxa"/>
            <w:vAlign w:val="center"/>
          </w:tcPr>
          <w:p w:rsidR="00DE740C" w:rsidRDefault="00A93524">
            <w:pPr>
              <w:jc w:val="right"/>
            </w:pPr>
            <w:r>
              <w:rPr>
                <w:rFonts w:eastAsiaTheme="minorEastAsia"/>
                <w:color w:val="000000" w:themeColor="text1"/>
                <w:szCs w:val="21"/>
              </w:rPr>
              <w:t>0.81%</w:t>
            </w:r>
          </w:p>
        </w:tc>
        <w:tc>
          <w:tcPr>
            <w:tcW w:w="1291" w:type="dxa"/>
            <w:vAlign w:val="center"/>
          </w:tcPr>
          <w:p w:rsidR="00DE740C" w:rsidRDefault="00A93524">
            <w:pPr>
              <w:jc w:val="right"/>
            </w:pPr>
            <w:r>
              <w:rPr>
                <w:rFonts w:eastAsiaTheme="minorEastAsia"/>
                <w:color w:val="000000" w:themeColor="text1"/>
                <w:szCs w:val="21"/>
              </w:rPr>
              <w:t>0.08%</w:t>
            </w:r>
          </w:p>
        </w:tc>
        <w:tc>
          <w:tcPr>
            <w:tcW w:w="1291" w:type="dxa"/>
            <w:vAlign w:val="center"/>
          </w:tcPr>
          <w:p w:rsidR="00DE740C" w:rsidRDefault="00A93524">
            <w:pPr>
              <w:jc w:val="right"/>
            </w:pPr>
            <w:r>
              <w:rPr>
                <w:rFonts w:eastAsiaTheme="minorEastAsia"/>
                <w:color w:val="000000" w:themeColor="text1"/>
                <w:szCs w:val="21"/>
              </w:rPr>
              <w:t>-2.23%</w:t>
            </w:r>
          </w:p>
        </w:tc>
        <w:tc>
          <w:tcPr>
            <w:tcW w:w="1291" w:type="dxa"/>
            <w:vAlign w:val="center"/>
          </w:tcPr>
          <w:p w:rsidR="00DE740C" w:rsidRDefault="00A93524">
            <w:pPr>
              <w:jc w:val="right"/>
            </w:pPr>
            <w:r>
              <w:rPr>
                <w:rFonts w:eastAsiaTheme="minorEastAsia"/>
                <w:color w:val="000000" w:themeColor="text1"/>
                <w:szCs w:val="21"/>
              </w:rPr>
              <w:t>0.06%</w:t>
            </w:r>
          </w:p>
        </w:tc>
      </w:tr>
      <w:tr w:rsidR="00DE740C">
        <w:tc>
          <w:tcPr>
            <w:tcW w:w="1290" w:type="dxa"/>
            <w:vAlign w:val="center"/>
          </w:tcPr>
          <w:p w:rsidR="00DE740C" w:rsidRDefault="00A93524">
            <w:pPr>
              <w:jc w:val="left"/>
            </w:pPr>
            <w:r>
              <w:rPr>
                <w:rFonts w:eastAsiaTheme="minorEastAsia"/>
                <w:color w:val="000000" w:themeColor="text1"/>
                <w:szCs w:val="21"/>
              </w:rPr>
              <w:t>过去一年</w:t>
            </w:r>
          </w:p>
        </w:tc>
        <w:tc>
          <w:tcPr>
            <w:tcW w:w="1291" w:type="dxa"/>
            <w:vAlign w:val="center"/>
          </w:tcPr>
          <w:p w:rsidR="00DE740C" w:rsidRDefault="00A93524">
            <w:pPr>
              <w:jc w:val="right"/>
            </w:pPr>
            <w:r>
              <w:rPr>
                <w:rFonts w:eastAsiaTheme="minorEastAsia"/>
                <w:color w:val="000000" w:themeColor="text1"/>
                <w:szCs w:val="21"/>
              </w:rPr>
              <w:t>-1.60%</w:t>
            </w:r>
          </w:p>
        </w:tc>
        <w:tc>
          <w:tcPr>
            <w:tcW w:w="1291" w:type="dxa"/>
            <w:vAlign w:val="center"/>
          </w:tcPr>
          <w:p w:rsidR="00DE740C" w:rsidRDefault="00A93524">
            <w:pPr>
              <w:jc w:val="right"/>
            </w:pPr>
            <w:r>
              <w:rPr>
                <w:rFonts w:eastAsiaTheme="minorEastAsia"/>
                <w:color w:val="000000" w:themeColor="text1"/>
                <w:szCs w:val="21"/>
              </w:rPr>
              <w:t>0.10%</w:t>
            </w:r>
          </w:p>
        </w:tc>
        <w:tc>
          <w:tcPr>
            <w:tcW w:w="1291" w:type="dxa"/>
            <w:vAlign w:val="center"/>
          </w:tcPr>
          <w:p w:rsidR="00DE740C" w:rsidRDefault="00A93524">
            <w:pPr>
              <w:jc w:val="right"/>
            </w:pPr>
            <w:r>
              <w:rPr>
                <w:rFonts w:eastAsiaTheme="minorEastAsia"/>
                <w:color w:val="000000" w:themeColor="text1"/>
                <w:szCs w:val="21"/>
              </w:rPr>
              <w:t>-2.89%</w:t>
            </w:r>
          </w:p>
        </w:tc>
        <w:tc>
          <w:tcPr>
            <w:tcW w:w="1291" w:type="dxa"/>
            <w:vAlign w:val="center"/>
          </w:tcPr>
          <w:p w:rsidR="00DE740C" w:rsidRDefault="00A93524">
            <w:pPr>
              <w:jc w:val="right"/>
            </w:pPr>
            <w:r>
              <w:rPr>
                <w:rFonts w:eastAsiaTheme="minorEastAsia"/>
                <w:color w:val="000000" w:themeColor="text1"/>
                <w:szCs w:val="21"/>
              </w:rPr>
              <w:t>0.13%</w:t>
            </w:r>
          </w:p>
        </w:tc>
        <w:tc>
          <w:tcPr>
            <w:tcW w:w="1291" w:type="dxa"/>
            <w:vAlign w:val="center"/>
          </w:tcPr>
          <w:p w:rsidR="00DE740C" w:rsidRDefault="00A93524">
            <w:pPr>
              <w:jc w:val="right"/>
            </w:pPr>
            <w:r>
              <w:rPr>
                <w:rFonts w:eastAsiaTheme="minorEastAsia"/>
                <w:color w:val="000000" w:themeColor="text1"/>
                <w:szCs w:val="21"/>
              </w:rPr>
              <w:t>1.29%</w:t>
            </w:r>
          </w:p>
        </w:tc>
        <w:tc>
          <w:tcPr>
            <w:tcW w:w="1291" w:type="dxa"/>
            <w:vAlign w:val="center"/>
          </w:tcPr>
          <w:p w:rsidR="00DE740C" w:rsidRDefault="00A93524">
            <w:pPr>
              <w:jc w:val="right"/>
            </w:pPr>
            <w:r>
              <w:rPr>
                <w:rFonts w:eastAsiaTheme="minorEastAsia"/>
                <w:color w:val="000000" w:themeColor="text1"/>
                <w:szCs w:val="21"/>
              </w:rPr>
              <w:t>-0.03%</w:t>
            </w:r>
          </w:p>
        </w:tc>
      </w:tr>
      <w:tr w:rsidR="00DE740C">
        <w:tc>
          <w:tcPr>
            <w:tcW w:w="1290" w:type="dxa"/>
            <w:vAlign w:val="center"/>
          </w:tcPr>
          <w:p w:rsidR="00DE740C" w:rsidRDefault="00A93524">
            <w:pPr>
              <w:jc w:val="left"/>
            </w:pPr>
            <w:r>
              <w:rPr>
                <w:rFonts w:eastAsiaTheme="minorEastAsia"/>
                <w:color w:val="000000" w:themeColor="text1"/>
                <w:szCs w:val="21"/>
              </w:rPr>
              <w:t>过去三年</w:t>
            </w:r>
          </w:p>
        </w:tc>
        <w:tc>
          <w:tcPr>
            <w:tcW w:w="1291" w:type="dxa"/>
            <w:vAlign w:val="center"/>
          </w:tcPr>
          <w:p w:rsidR="00DE740C" w:rsidRDefault="00A93524">
            <w:pPr>
              <w:jc w:val="right"/>
            </w:pPr>
            <w:r>
              <w:rPr>
                <w:rFonts w:eastAsiaTheme="minorEastAsia"/>
                <w:color w:val="000000" w:themeColor="text1"/>
                <w:szCs w:val="21"/>
              </w:rPr>
              <w:t>7.75%</w:t>
            </w:r>
          </w:p>
        </w:tc>
        <w:tc>
          <w:tcPr>
            <w:tcW w:w="1291" w:type="dxa"/>
            <w:vAlign w:val="center"/>
          </w:tcPr>
          <w:p w:rsidR="00DE740C" w:rsidRDefault="00A93524">
            <w:pPr>
              <w:jc w:val="right"/>
            </w:pPr>
            <w:r>
              <w:rPr>
                <w:rFonts w:eastAsiaTheme="minorEastAsia"/>
                <w:color w:val="000000" w:themeColor="text1"/>
                <w:szCs w:val="21"/>
              </w:rPr>
              <w:t>0.07%</w:t>
            </w:r>
          </w:p>
        </w:tc>
        <w:tc>
          <w:tcPr>
            <w:tcW w:w="1291" w:type="dxa"/>
            <w:vAlign w:val="center"/>
          </w:tcPr>
          <w:p w:rsidR="00DE740C" w:rsidRDefault="00A93524">
            <w:pPr>
              <w:jc w:val="right"/>
            </w:pPr>
            <w:r>
              <w:rPr>
                <w:rFonts w:eastAsiaTheme="minorEastAsia"/>
                <w:color w:val="000000" w:themeColor="text1"/>
                <w:szCs w:val="21"/>
              </w:rPr>
              <w:t>5.65%</w:t>
            </w:r>
          </w:p>
        </w:tc>
        <w:tc>
          <w:tcPr>
            <w:tcW w:w="1291" w:type="dxa"/>
            <w:vAlign w:val="center"/>
          </w:tcPr>
          <w:p w:rsidR="00DE740C" w:rsidRDefault="00A93524">
            <w:pPr>
              <w:jc w:val="right"/>
            </w:pPr>
            <w:r>
              <w:rPr>
                <w:rFonts w:eastAsiaTheme="minorEastAsia"/>
                <w:color w:val="000000" w:themeColor="text1"/>
                <w:szCs w:val="21"/>
              </w:rPr>
              <w:t>0.12%</w:t>
            </w:r>
          </w:p>
        </w:tc>
        <w:tc>
          <w:tcPr>
            <w:tcW w:w="1291" w:type="dxa"/>
            <w:vAlign w:val="center"/>
          </w:tcPr>
          <w:p w:rsidR="00DE740C" w:rsidRDefault="00A93524">
            <w:pPr>
              <w:jc w:val="right"/>
            </w:pPr>
            <w:r>
              <w:rPr>
                <w:rFonts w:eastAsiaTheme="minorEastAsia"/>
                <w:color w:val="000000" w:themeColor="text1"/>
                <w:szCs w:val="21"/>
              </w:rPr>
              <w:t>2.10%</w:t>
            </w:r>
          </w:p>
        </w:tc>
        <w:tc>
          <w:tcPr>
            <w:tcW w:w="1291" w:type="dxa"/>
            <w:vAlign w:val="center"/>
          </w:tcPr>
          <w:p w:rsidR="00DE740C" w:rsidRDefault="00A93524">
            <w:pPr>
              <w:jc w:val="right"/>
            </w:pPr>
            <w:r>
              <w:rPr>
                <w:rFonts w:eastAsiaTheme="minorEastAsia"/>
                <w:color w:val="000000" w:themeColor="text1"/>
                <w:szCs w:val="21"/>
              </w:rPr>
              <w:t>-0.05%</w:t>
            </w:r>
          </w:p>
        </w:tc>
      </w:tr>
      <w:tr w:rsidR="00DE740C">
        <w:tc>
          <w:tcPr>
            <w:tcW w:w="1290" w:type="dxa"/>
            <w:vAlign w:val="center"/>
          </w:tcPr>
          <w:p w:rsidR="00DE740C" w:rsidRDefault="00A93524">
            <w:pPr>
              <w:jc w:val="left"/>
            </w:pPr>
            <w:r>
              <w:rPr>
                <w:rFonts w:eastAsiaTheme="minorEastAsia"/>
                <w:color w:val="000000" w:themeColor="text1"/>
                <w:szCs w:val="21"/>
              </w:rPr>
              <w:t>过去五年</w:t>
            </w:r>
          </w:p>
        </w:tc>
        <w:tc>
          <w:tcPr>
            <w:tcW w:w="1291" w:type="dxa"/>
            <w:vAlign w:val="center"/>
          </w:tcPr>
          <w:p w:rsidR="00DE740C" w:rsidRDefault="00A93524">
            <w:pPr>
              <w:jc w:val="right"/>
            </w:pPr>
            <w:r>
              <w:rPr>
                <w:rFonts w:eastAsiaTheme="minorEastAsia"/>
                <w:color w:val="000000" w:themeColor="text1"/>
                <w:szCs w:val="21"/>
              </w:rPr>
              <w:t>-</w:t>
            </w:r>
          </w:p>
        </w:tc>
        <w:tc>
          <w:tcPr>
            <w:tcW w:w="1291" w:type="dxa"/>
            <w:vAlign w:val="center"/>
          </w:tcPr>
          <w:p w:rsidR="00DE740C" w:rsidRDefault="00A93524">
            <w:pPr>
              <w:jc w:val="right"/>
            </w:pPr>
            <w:r>
              <w:rPr>
                <w:rFonts w:eastAsiaTheme="minorEastAsia"/>
                <w:color w:val="000000" w:themeColor="text1"/>
                <w:szCs w:val="21"/>
              </w:rPr>
              <w:t>-</w:t>
            </w:r>
          </w:p>
        </w:tc>
        <w:tc>
          <w:tcPr>
            <w:tcW w:w="1291" w:type="dxa"/>
            <w:vAlign w:val="center"/>
          </w:tcPr>
          <w:p w:rsidR="00DE740C" w:rsidRDefault="00A93524">
            <w:pPr>
              <w:jc w:val="right"/>
            </w:pPr>
            <w:r>
              <w:rPr>
                <w:rFonts w:eastAsiaTheme="minorEastAsia"/>
                <w:color w:val="000000" w:themeColor="text1"/>
                <w:szCs w:val="21"/>
              </w:rPr>
              <w:t>-</w:t>
            </w:r>
          </w:p>
        </w:tc>
        <w:tc>
          <w:tcPr>
            <w:tcW w:w="1291" w:type="dxa"/>
            <w:vAlign w:val="center"/>
          </w:tcPr>
          <w:p w:rsidR="00DE740C" w:rsidRDefault="00A93524">
            <w:pPr>
              <w:jc w:val="right"/>
            </w:pPr>
            <w:r>
              <w:rPr>
                <w:rFonts w:eastAsiaTheme="minorEastAsia"/>
                <w:color w:val="000000" w:themeColor="text1"/>
                <w:szCs w:val="21"/>
              </w:rPr>
              <w:t>-</w:t>
            </w:r>
          </w:p>
        </w:tc>
        <w:tc>
          <w:tcPr>
            <w:tcW w:w="1291" w:type="dxa"/>
            <w:vAlign w:val="center"/>
          </w:tcPr>
          <w:p w:rsidR="00DE740C" w:rsidRDefault="00A93524">
            <w:pPr>
              <w:jc w:val="right"/>
            </w:pPr>
            <w:r>
              <w:rPr>
                <w:rFonts w:eastAsiaTheme="minorEastAsia"/>
                <w:color w:val="000000" w:themeColor="text1"/>
                <w:szCs w:val="21"/>
              </w:rPr>
              <w:t>-</w:t>
            </w:r>
          </w:p>
        </w:tc>
        <w:tc>
          <w:tcPr>
            <w:tcW w:w="1291" w:type="dxa"/>
            <w:vAlign w:val="center"/>
          </w:tcPr>
          <w:p w:rsidR="00DE740C" w:rsidRDefault="00A93524">
            <w:pPr>
              <w:jc w:val="right"/>
            </w:pPr>
            <w:r>
              <w:rPr>
                <w:rFonts w:eastAsiaTheme="minorEastAsia"/>
                <w:color w:val="000000" w:themeColor="text1"/>
                <w:szCs w:val="21"/>
              </w:rPr>
              <w:t>-</w:t>
            </w:r>
          </w:p>
        </w:tc>
      </w:tr>
      <w:tr w:rsidR="00DE740C">
        <w:tc>
          <w:tcPr>
            <w:tcW w:w="1290" w:type="dxa"/>
            <w:vAlign w:val="center"/>
          </w:tcPr>
          <w:p w:rsidR="00DE740C" w:rsidRDefault="00A93524">
            <w:pPr>
              <w:jc w:val="left"/>
            </w:pPr>
            <w:r>
              <w:rPr>
                <w:rFonts w:eastAsiaTheme="minorEastAsia"/>
                <w:color w:val="000000" w:themeColor="text1"/>
                <w:szCs w:val="21"/>
              </w:rPr>
              <w:t>自基金合同生效起至今</w:t>
            </w:r>
          </w:p>
        </w:tc>
        <w:tc>
          <w:tcPr>
            <w:tcW w:w="1291" w:type="dxa"/>
            <w:vAlign w:val="center"/>
          </w:tcPr>
          <w:p w:rsidR="00DE740C" w:rsidRDefault="00A93524">
            <w:pPr>
              <w:jc w:val="right"/>
            </w:pPr>
            <w:r>
              <w:rPr>
                <w:rFonts w:eastAsiaTheme="minorEastAsia"/>
                <w:color w:val="000000" w:themeColor="text1"/>
                <w:szCs w:val="21"/>
              </w:rPr>
              <w:t>8.24%</w:t>
            </w:r>
          </w:p>
        </w:tc>
        <w:tc>
          <w:tcPr>
            <w:tcW w:w="1291" w:type="dxa"/>
            <w:vAlign w:val="center"/>
          </w:tcPr>
          <w:p w:rsidR="00DE740C" w:rsidRDefault="00A93524">
            <w:pPr>
              <w:jc w:val="right"/>
            </w:pPr>
            <w:r>
              <w:rPr>
                <w:rFonts w:eastAsiaTheme="minorEastAsia"/>
                <w:color w:val="000000" w:themeColor="text1"/>
                <w:szCs w:val="21"/>
              </w:rPr>
              <w:t>0.07%</w:t>
            </w:r>
          </w:p>
        </w:tc>
        <w:tc>
          <w:tcPr>
            <w:tcW w:w="1291" w:type="dxa"/>
            <w:vAlign w:val="center"/>
          </w:tcPr>
          <w:p w:rsidR="00DE740C" w:rsidRDefault="00A93524">
            <w:pPr>
              <w:jc w:val="right"/>
            </w:pPr>
            <w:r>
              <w:rPr>
                <w:rFonts w:eastAsiaTheme="minorEastAsia"/>
                <w:color w:val="000000" w:themeColor="text1"/>
                <w:szCs w:val="21"/>
              </w:rPr>
              <w:t>7.25%</w:t>
            </w:r>
          </w:p>
        </w:tc>
        <w:tc>
          <w:tcPr>
            <w:tcW w:w="1291" w:type="dxa"/>
            <w:vAlign w:val="center"/>
          </w:tcPr>
          <w:p w:rsidR="00DE740C" w:rsidRDefault="00A93524">
            <w:pPr>
              <w:jc w:val="right"/>
            </w:pPr>
            <w:r>
              <w:rPr>
                <w:rFonts w:eastAsiaTheme="minorEastAsia"/>
                <w:color w:val="000000" w:themeColor="text1"/>
                <w:szCs w:val="21"/>
              </w:rPr>
              <w:t>0.12%</w:t>
            </w:r>
          </w:p>
        </w:tc>
        <w:tc>
          <w:tcPr>
            <w:tcW w:w="1291" w:type="dxa"/>
            <w:vAlign w:val="center"/>
          </w:tcPr>
          <w:p w:rsidR="00DE740C" w:rsidRDefault="00A93524">
            <w:pPr>
              <w:jc w:val="right"/>
            </w:pPr>
            <w:r>
              <w:rPr>
                <w:rFonts w:eastAsiaTheme="minorEastAsia"/>
                <w:color w:val="000000" w:themeColor="text1"/>
                <w:szCs w:val="21"/>
              </w:rPr>
              <w:t>0.99%</w:t>
            </w:r>
          </w:p>
        </w:tc>
        <w:tc>
          <w:tcPr>
            <w:tcW w:w="1291" w:type="dxa"/>
            <w:vAlign w:val="center"/>
          </w:tcPr>
          <w:p w:rsidR="00DE740C" w:rsidRDefault="00A93524">
            <w:pPr>
              <w:jc w:val="right"/>
            </w:pPr>
            <w:r>
              <w:rPr>
                <w:rFonts w:eastAsiaTheme="minorEastAsia"/>
                <w:color w:val="000000" w:themeColor="text1"/>
                <w:szCs w:val="21"/>
              </w:rPr>
              <w:t>-0.05%</w:t>
            </w:r>
          </w:p>
        </w:tc>
      </w:tr>
    </w:tbl>
    <w:p w:rsidR="005E6DF3" w:rsidRDefault="005C671B">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lastRenderedPageBreak/>
        <w:t>2</w:t>
      </w:r>
      <w:r>
        <w:rPr>
          <w:rFonts w:eastAsiaTheme="minorEastAsia"/>
          <w:b/>
          <w:color w:val="000000" w:themeColor="text1"/>
          <w:szCs w:val="21"/>
        </w:rPr>
        <w:t>、</w:t>
      </w:r>
      <w:r>
        <w:rPr>
          <w:rFonts w:eastAsiaTheme="minorEastAsia"/>
          <w:b/>
          <w:color w:val="000000" w:themeColor="text1"/>
          <w:kern w:val="0"/>
          <w:szCs w:val="21"/>
        </w:rPr>
        <w:t>上投摩根岁岁益定期开放债券</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tc>
          <w:tcPr>
            <w:tcW w:w="1290"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E6DF3" w:rsidRDefault="005C671B">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E6DF3" w:rsidRDefault="005C671B">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DE740C">
        <w:tc>
          <w:tcPr>
            <w:tcW w:w="1290" w:type="dxa"/>
            <w:vAlign w:val="center"/>
          </w:tcPr>
          <w:p w:rsidR="00DE740C" w:rsidRDefault="00A93524">
            <w:pPr>
              <w:jc w:val="left"/>
            </w:pPr>
            <w:r>
              <w:rPr>
                <w:rFonts w:eastAsiaTheme="minorEastAsia"/>
                <w:color w:val="000000" w:themeColor="text1"/>
                <w:szCs w:val="21"/>
              </w:rPr>
              <w:t>过去三个月</w:t>
            </w:r>
          </w:p>
        </w:tc>
        <w:tc>
          <w:tcPr>
            <w:tcW w:w="1291" w:type="dxa"/>
            <w:vAlign w:val="center"/>
          </w:tcPr>
          <w:p w:rsidR="00DE740C" w:rsidRDefault="00A93524">
            <w:pPr>
              <w:jc w:val="right"/>
            </w:pPr>
            <w:r>
              <w:rPr>
                <w:rFonts w:eastAsiaTheme="minorEastAsia"/>
                <w:color w:val="000000" w:themeColor="text1"/>
                <w:szCs w:val="21"/>
              </w:rPr>
              <w:t>-2.33%</w:t>
            </w:r>
          </w:p>
        </w:tc>
        <w:tc>
          <w:tcPr>
            <w:tcW w:w="1291" w:type="dxa"/>
            <w:vAlign w:val="center"/>
          </w:tcPr>
          <w:p w:rsidR="00DE740C" w:rsidRDefault="00A93524">
            <w:pPr>
              <w:jc w:val="right"/>
            </w:pPr>
            <w:r>
              <w:rPr>
                <w:rFonts w:eastAsiaTheme="minorEastAsia"/>
                <w:color w:val="000000" w:themeColor="text1"/>
                <w:szCs w:val="21"/>
              </w:rPr>
              <w:t>0.20%</w:t>
            </w:r>
          </w:p>
        </w:tc>
        <w:tc>
          <w:tcPr>
            <w:tcW w:w="1291" w:type="dxa"/>
            <w:vAlign w:val="center"/>
          </w:tcPr>
          <w:p w:rsidR="00DE740C" w:rsidRDefault="00A93524">
            <w:pPr>
              <w:jc w:val="right"/>
            </w:pPr>
            <w:r>
              <w:rPr>
                <w:rFonts w:eastAsiaTheme="minorEastAsia"/>
                <w:color w:val="000000" w:themeColor="text1"/>
                <w:szCs w:val="21"/>
              </w:rPr>
              <w:t>-0.21%</w:t>
            </w:r>
          </w:p>
        </w:tc>
        <w:tc>
          <w:tcPr>
            <w:tcW w:w="1291" w:type="dxa"/>
            <w:vAlign w:val="center"/>
          </w:tcPr>
          <w:p w:rsidR="00DE740C" w:rsidRDefault="00A93524">
            <w:pPr>
              <w:jc w:val="right"/>
            </w:pPr>
            <w:r>
              <w:rPr>
                <w:rFonts w:eastAsiaTheme="minorEastAsia"/>
                <w:color w:val="000000" w:themeColor="text1"/>
                <w:szCs w:val="21"/>
              </w:rPr>
              <w:t>0.08%</w:t>
            </w:r>
          </w:p>
        </w:tc>
        <w:tc>
          <w:tcPr>
            <w:tcW w:w="1291" w:type="dxa"/>
            <w:vAlign w:val="center"/>
          </w:tcPr>
          <w:p w:rsidR="00DE740C" w:rsidRDefault="00A93524">
            <w:pPr>
              <w:jc w:val="right"/>
            </w:pPr>
            <w:r>
              <w:rPr>
                <w:rFonts w:eastAsiaTheme="minorEastAsia"/>
                <w:color w:val="000000" w:themeColor="text1"/>
                <w:szCs w:val="21"/>
              </w:rPr>
              <w:t>-2.12%</w:t>
            </w:r>
          </w:p>
        </w:tc>
        <w:tc>
          <w:tcPr>
            <w:tcW w:w="1291" w:type="dxa"/>
            <w:vAlign w:val="center"/>
          </w:tcPr>
          <w:p w:rsidR="00DE740C" w:rsidRDefault="00A93524">
            <w:pPr>
              <w:jc w:val="right"/>
            </w:pPr>
            <w:r>
              <w:rPr>
                <w:rFonts w:eastAsiaTheme="minorEastAsia"/>
                <w:color w:val="000000" w:themeColor="text1"/>
                <w:szCs w:val="21"/>
              </w:rPr>
              <w:t>0.12%</w:t>
            </w:r>
          </w:p>
        </w:tc>
      </w:tr>
      <w:tr w:rsidR="00DE740C">
        <w:tc>
          <w:tcPr>
            <w:tcW w:w="1290" w:type="dxa"/>
            <w:vAlign w:val="center"/>
          </w:tcPr>
          <w:p w:rsidR="00DE740C" w:rsidRDefault="00A93524">
            <w:pPr>
              <w:jc w:val="left"/>
            </w:pPr>
            <w:r>
              <w:rPr>
                <w:rFonts w:eastAsiaTheme="minorEastAsia"/>
                <w:color w:val="000000" w:themeColor="text1"/>
                <w:szCs w:val="21"/>
              </w:rPr>
              <w:t>过去六个月</w:t>
            </w:r>
          </w:p>
        </w:tc>
        <w:tc>
          <w:tcPr>
            <w:tcW w:w="1291" w:type="dxa"/>
            <w:vAlign w:val="center"/>
          </w:tcPr>
          <w:p w:rsidR="00DE740C" w:rsidRDefault="00A93524">
            <w:pPr>
              <w:jc w:val="right"/>
            </w:pPr>
            <w:r>
              <w:rPr>
                <w:rFonts w:eastAsiaTheme="minorEastAsia"/>
                <w:color w:val="000000" w:themeColor="text1"/>
                <w:szCs w:val="21"/>
              </w:rPr>
              <w:t>-1.59%</w:t>
            </w:r>
          </w:p>
        </w:tc>
        <w:tc>
          <w:tcPr>
            <w:tcW w:w="1291" w:type="dxa"/>
            <w:vAlign w:val="center"/>
          </w:tcPr>
          <w:p w:rsidR="00DE740C" w:rsidRDefault="00A93524">
            <w:pPr>
              <w:jc w:val="right"/>
            </w:pPr>
            <w:r>
              <w:rPr>
                <w:rFonts w:eastAsiaTheme="minorEastAsia"/>
                <w:color w:val="000000" w:themeColor="text1"/>
                <w:szCs w:val="21"/>
              </w:rPr>
              <w:t>0.14%</w:t>
            </w:r>
          </w:p>
        </w:tc>
        <w:tc>
          <w:tcPr>
            <w:tcW w:w="1291" w:type="dxa"/>
            <w:vAlign w:val="center"/>
          </w:tcPr>
          <w:p w:rsidR="00DE740C" w:rsidRDefault="00A93524">
            <w:pPr>
              <w:jc w:val="right"/>
            </w:pPr>
            <w:r>
              <w:rPr>
                <w:rFonts w:eastAsiaTheme="minorEastAsia"/>
                <w:color w:val="000000" w:themeColor="text1"/>
                <w:szCs w:val="21"/>
              </w:rPr>
              <w:t>0.81%</w:t>
            </w:r>
          </w:p>
        </w:tc>
        <w:tc>
          <w:tcPr>
            <w:tcW w:w="1291" w:type="dxa"/>
            <w:vAlign w:val="center"/>
          </w:tcPr>
          <w:p w:rsidR="00DE740C" w:rsidRDefault="00A93524">
            <w:pPr>
              <w:jc w:val="right"/>
            </w:pPr>
            <w:r>
              <w:rPr>
                <w:rFonts w:eastAsiaTheme="minorEastAsia"/>
                <w:color w:val="000000" w:themeColor="text1"/>
                <w:szCs w:val="21"/>
              </w:rPr>
              <w:t>0.08%</w:t>
            </w:r>
          </w:p>
        </w:tc>
        <w:tc>
          <w:tcPr>
            <w:tcW w:w="1291" w:type="dxa"/>
            <w:vAlign w:val="center"/>
          </w:tcPr>
          <w:p w:rsidR="00DE740C" w:rsidRDefault="00A93524">
            <w:pPr>
              <w:jc w:val="right"/>
            </w:pPr>
            <w:r>
              <w:rPr>
                <w:rFonts w:eastAsiaTheme="minorEastAsia"/>
                <w:color w:val="000000" w:themeColor="text1"/>
                <w:szCs w:val="21"/>
              </w:rPr>
              <w:t>-2.40%</w:t>
            </w:r>
          </w:p>
        </w:tc>
        <w:tc>
          <w:tcPr>
            <w:tcW w:w="1291" w:type="dxa"/>
            <w:vAlign w:val="center"/>
          </w:tcPr>
          <w:p w:rsidR="00DE740C" w:rsidRDefault="00A93524">
            <w:pPr>
              <w:jc w:val="right"/>
            </w:pPr>
            <w:r>
              <w:rPr>
                <w:rFonts w:eastAsiaTheme="minorEastAsia"/>
                <w:color w:val="000000" w:themeColor="text1"/>
                <w:szCs w:val="21"/>
              </w:rPr>
              <w:t>0.06%</w:t>
            </w:r>
          </w:p>
        </w:tc>
      </w:tr>
      <w:tr w:rsidR="00DE740C">
        <w:tc>
          <w:tcPr>
            <w:tcW w:w="1290" w:type="dxa"/>
            <w:vAlign w:val="center"/>
          </w:tcPr>
          <w:p w:rsidR="00DE740C" w:rsidRDefault="00A93524">
            <w:pPr>
              <w:jc w:val="left"/>
            </w:pPr>
            <w:r>
              <w:rPr>
                <w:rFonts w:eastAsiaTheme="minorEastAsia"/>
                <w:color w:val="000000" w:themeColor="text1"/>
                <w:szCs w:val="21"/>
              </w:rPr>
              <w:t>过去一年</w:t>
            </w:r>
          </w:p>
        </w:tc>
        <w:tc>
          <w:tcPr>
            <w:tcW w:w="1291" w:type="dxa"/>
            <w:vAlign w:val="center"/>
          </w:tcPr>
          <w:p w:rsidR="00DE740C" w:rsidRDefault="00A93524">
            <w:pPr>
              <w:jc w:val="right"/>
            </w:pPr>
            <w:r>
              <w:rPr>
                <w:rFonts w:eastAsiaTheme="minorEastAsia"/>
                <w:color w:val="000000" w:themeColor="text1"/>
                <w:szCs w:val="21"/>
              </w:rPr>
              <w:t>-1.94%</w:t>
            </w:r>
          </w:p>
        </w:tc>
        <w:tc>
          <w:tcPr>
            <w:tcW w:w="1291" w:type="dxa"/>
            <w:vAlign w:val="center"/>
          </w:tcPr>
          <w:p w:rsidR="00DE740C" w:rsidRDefault="00A93524">
            <w:pPr>
              <w:jc w:val="right"/>
            </w:pPr>
            <w:r>
              <w:rPr>
                <w:rFonts w:eastAsiaTheme="minorEastAsia"/>
                <w:color w:val="000000" w:themeColor="text1"/>
                <w:szCs w:val="21"/>
              </w:rPr>
              <w:t>0.10%</w:t>
            </w:r>
          </w:p>
        </w:tc>
        <w:tc>
          <w:tcPr>
            <w:tcW w:w="1291" w:type="dxa"/>
            <w:vAlign w:val="center"/>
          </w:tcPr>
          <w:p w:rsidR="00DE740C" w:rsidRDefault="00A93524">
            <w:pPr>
              <w:jc w:val="right"/>
            </w:pPr>
            <w:r>
              <w:rPr>
                <w:rFonts w:eastAsiaTheme="minorEastAsia"/>
                <w:color w:val="000000" w:themeColor="text1"/>
                <w:szCs w:val="21"/>
              </w:rPr>
              <w:t>-2.89%</w:t>
            </w:r>
          </w:p>
        </w:tc>
        <w:tc>
          <w:tcPr>
            <w:tcW w:w="1291" w:type="dxa"/>
            <w:vAlign w:val="center"/>
          </w:tcPr>
          <w:p w:rsidR="00DE740C" w:rsidRDefault="00A93524">
            <w:pPr>
              <w:jc w:val="right"/>
            </w:pPr>
            <w:r>
              <w:rPr>
                <w:rFonts w:eastAsiaTheme="minorEastAsia"/>
                <w:color w:val="000000" w:themeColor="text1"/>
                <w:szCs w:val="21"/>
              </w:rPr>
              <w:t>0.13%</w:t>
            </w:r>
          </w:p>
        </w:tc>
        <w:tc>
          <w:tcPr>
            <w:tcW w:w="1291" w:type="dxa"/>
            <w:vAlign w:val="center"/>
          </w:tcPr>
          <w:p w:rsidR="00DE740C" w:rsidRDefault="00A93524">
            <w:pPr>
              <w:jc w:val="right"/>
            </w:pPr>
            <w:r>
              <w:rPr>
                <w:rFonts w:eastAsiaTheme="minorEastAsia"/>
                <w:color w:val="000000" w:themeColor="text1"/>
                <w:szCs w:val="21"/>
              </w:rPr>
              <w:t>0.95%</w:t>
            </w:r>
          </w:p>
        </w:tc>
        <w:tc>
          <w:tcPr>
            <w:tcW w:w="1291" w:type="dxa"/>
            <w:vAlign w:val="center"/>
          </w:tcPr>
          <w:p w:rsidR="00DE740C" w:rsidRDefault="00A93524">
            <w:pPr>
              <w:jc w:val="right"/>
            </w:pPr>
            <w:r>
              <w:rPr>
                <w:rFonts w:eastAsiaTheme="minorEastAsia"/>
                <w:color w:val="000000" w:themeColor="text1"/>
                <w:szCs w:val="21"/>
              </w:rPr>
              <w:t>-0.03%</w:t>
            </w:r>
          </w:p>
        </w:tc>
      </w:tr>
      <w:tr w:rsidR="00DE740C">
        <w:tc>
          <w:tcPr>
            <w:tcW w:w="1290" w:type="dxa"/>
            <w:vAlign w:val="center"/>
          </w:tcPr>
          <w:p w:rsidR="00DE740C" w:rsidRDefault="00A93524">
            <w:pPr>
              <w:jc w:val="left"/>
            </w:pPr>
            <w:r>
              <w:rPr>
                <w:rFonts w:eastAsiaTheme="minorEastAsia"/>
                <w:color w:val="000000" w:themeColor="text1"/>
                <w:szCs w:val="21"/>
              </w:rPr>
              <w:t>过去三年</w:t>
            </w:r>
          </w:p>
        </w:tc>
        <w:tc>
          <w:tcPr>
            <w:tcW w:w="1291" w:type="dxa"/>
            <w:vAlign w:val="center"/>
          </w:tcPr>
          <w:p w:rsidR="00DE740C" w:rsidRDefault="00A93524">
            <w:pPr>
              <w:jc w:val="right"/>
            </w:pPr>
            <w:r>
              <w:rPr>
                <w:rFonts w:eastAsiaTheme="minorEastAsia"/>
                <w:color w:val="000000" w:themeColor="text1"/>
                <w:szCs w:val="21"/>
              </w:rPr>
              <w:t>6.43%</w:t>
            </w:r>
          </w:p>
        </w:tc>
        <w:tc>
          <w:tcPr>
            <w:tcW w:w="1291" w:type="dxa"/>
            <w:vAlign w:val="center"/>
          </w:tcPr>
          <w:p w:rsidR="00DE740C" w:rsidRDefault="00A93524">
            <w:pPr>
              <w:jc w:val="right"/>
            </w:pPr>
            <w:r>
              <w:rPr>
                <w:rFonts w:eastAsiaTheme="minorEastAsia"/>
                <w:color w:val="000000" w:themeColor="text1"/>
                <w:szCs w:val="21"/>
              </w:rPr>
              <w:t>0.07%</w:t>
            </w:r>
          </w:p>
        </w:tc>
        <w:tc>
          <w:tcPr>
            <w:tcW w:w="1291" w:type="dxa"/>
            <w:vAlign w:val="center"/>
          </w:tcPr>
          <w:p w:rsidR="00DE740C" w:rsidRDefault="00A93524">
            <w:pPr>
              <w:jc w:val="right"/>
            </w:pPr>
            <w:r>
              <w:rPr>
                <w:rFonts w:eastAsiaTheme="minorEastAsia"/>
                <w:color w:val="000000" w:themeColor="text1"/>
                <w:szCs w:val="21"/>
              </w:rPr>
              <w:t>5.65%</w:t>
            </w:r>
          </w:p>
        </w:tc>
        <w:tc>
          <w:tcPr>
            <w:tcW w:w="1291" w:type="dxa"/>
            <w:vAlign w:val="center"/>
          </w:tcPr>
          <w:p w:rsidR="00DE740C" w:rsidRDefault="00A93524">
            <w:pPr>
              <w:jc w:val="right"/>
            </w:pPr>
            <w:r>
              <w:rPr>
                <w:rFonts w:eastAsiaTheme="minorEastAsia"/>
                <w:color w:val="000000" w:themeColor="text1"/>
                <w:szCs w:val="21"/>
              </w:rPr>
              <w:t>0.12%</w:t>
            </w:r>
          </w:p>
        </w:tc>
        <w:tc>
          <w:tcPr>
            <w:tcW w:w="1291" w:type="dxa"/>
            <w:vAlign w:val="center"/>
          </w:tcPr>
          <w:p w:rsidR="00DE740C" w:rsidRDefault="00A93524">
            <w:pPr>
              <w:jc w:val="right"/>
            </w:pPr>
            <w:r>
              <w:rPr>
                <w:rFonts w:eastAsiaTheme="minorEastAsia"/>
                <w:color w:val="000000" w:themeColor="text1"/>
                <w:szCs w:val="21"/>
              </w:rPr>
              <w:t>0.78%</w:t>
            </w:r>
          </w:p>
        </w:tc>
        <w:tc>
          <w:tcPr>
            <w:tcW w:w="1291" w:type="dxa"/>
            <w:vAlign w:val="center"/>
          </w:tcPr>
          <w:p w:rsidR="00DE740C" w:rsidRDefault="00A93524">
            <w:pPr>
              <w:jc w:val="right"/>
            </w:pPr>
            <w:r>
              <w:rPr>
                <w:rFonts w:eastAsiaTheme="minorEastAsia"/>
                <w:color w:val="000000" w:themeColor="text1"/>
                <w:szCs w:val="21"/>
              </w:rPr>
              <w:t>-0.05%</w:t>
            </w:r>
          </w:p>
        </w:tc>
      </w:tr>
      <w:tr w:rsidR="00DE740C">
        <w:tc>
          <w:tcPr>
            <w:tcW w:w="1290" w:type="dxa"/>
            <w:vAlign w:val="center"/>
          </w:tcPr>
          <w:p w:rsidR="00DE740C" w:rsidRDefault="00A93524">
            <w:pPr>
              <w:jc w:val="left"/>
            </w:pPr>
            <w:r>
              <w:rPr>
                <w:rFonts w:eastAsiaTheme="minorEastAsia"/>
                <w:color w:val="000000" w:themeColor="text1"/>
                <w:szCs w:val="21"/>
              </w:rPr>
              <w:t>过去五年</w:t>
            </w:r>
          </w:p>
        </w:tc>
        <w:tc>
          <w:tcPr>
            <w:tcW w:w="1291" w:type="dxa"/>
            <w:vAlign w:val="center"/>
          </w:tcPr>
          <w:p w:rsidR="00DE740C" w:rsidRDefault="00A93524">
            <w:pPr>
              <w:jc w:val="right"/>
            </w:pPr>
            <w:r>
              <w:rPr>
                <w:rFonts w:eastAsiaTheme="minorEastAsia"/>
                <w:color w:val="000000" w:themeColor="text1"/>
                <w:szCs w:val="21"/>
              </w:rPr>
              <w:t>-</w:t>
            </w:r>
          </w:p>
        </w:tc>
        <w:tc>
          <w:tcPr>
            <w:tcW w:w="1291" w:type="dxa"/>
            <w:vAlign w:val="center"/>
          </w:tcPr>
          <w:p w:rsidR="00DE740C" w:rsidRDefault="00A93524">
            <w:pPr>
              <w:jc w:val="right"/>
            </w:pPr>
            <w:r>
              <w:rPr>
                <w:rFonts w:eastAsiaTheme="minorEastAsia"/>
                <w:color w:val="000000" w:themeColor="text1"/>
                <w:szCs w:val="21"/>
              </w:rPr>
              <w:t>-</w:t>
            </w:r>
          </w:p>
        </w:tc>
        <w:tc>
          <w:tcPr>
            <w:tcW w:w="1291" w:type="dxa"/>
            <w:vAlign w:val="center"/>
          </w:tcPr>
          <w:p w:rsidR="00DE740C" w:rsidRDefault="00A93524">
            <w:pPr>
              <w:jc w:val="right"/>
            </w:pPr>
            <w:r>
              <w:rPr>
                <w:rFonts w:eastAsiaTheme="minorEastAsia"/>
                <w:color w:val="000000" w:themeColor="text1"/>
                <w:szCs w:val="21"/>
              </w:rPr>
              <w:t>-</w:t>
            </w:r>
          </w:p>
        </w:tc>
        <w:tc>
          <w:tcPr>
            <w:tcW w:w="1291" w:type="dxa"/>
            <w:vAlign w:val="center"/>
          </w:tcPr>
          <w:p w:rsidR="00DE740C" w:rsidRDefault="00A93524">
            <w:pPr>
              <w:jc w:val="right"/>
            </w:pPr>
            <w:r>
              <w:rPr>
                <w:rFonts w:eastAsiaTheme="minorEastAsia"/>
                <w:color w:val="000000" w:themeColor="text1"/>
                <w:szCs w:val="21"/>
              </w:rPr>
              <w:t>-</w:t>
            </w:r>
          </w:p>
        </w:tc>
        <w:tc>
          <w:tcPr>
            <w:tcW w:w="1291" w:type="dxa"/>
            <w:vAlign w:val="center"/>
          </w:tcPr>
          <w:p w:rsidR="00DE740C" w:rsidRDefault="00A93524">
            <w:pPr>
              <w:jc w:val="right"/>
            </w:pPr>
            <w:r>
              <w:rPr>
                <w:rFonts w:eastAsiaTheme="minorEastAsia"/>
                <w:color w:val="000000" w:themeColor="text1"/>
                <w:szCs w:val="21"/>
              </w:rPr>
              <w:t>-</w:t>
            </w:r>
          </w:p>
        </w:tc>
        <w:tc>
          <w:tcPr>
            <w:tcW w:w="1291" w:type="dxa"/>
            <w:vAlign w:val="center"/>
          </w:tcPr>
          <w:p w:rsidR="00DE740C" w:rsidRDefault="00A93524">
            <w:pPr>
              <w:jc w:val="right"/>
            </w:pPr>
            <w:r>
              <w:rPr>
                <w:rFonts w:eastAsiaTheme="minorEastAsia"/>
                <w:color w:val="000000" w:themeColor="text1"/>
                <w:szCs w:val="21"/>
              </w:rPr>
              <w:t>-</w:t>
            </w:r>
          </w:p>
        </w:tc>
      </w:tr>
      <w:tr w:rsidR="00DE740C">
        <w:tc>
          <w:tcPr>
            <w:tcW w:w="1290" w:type="dxa"/>
            <w:vAlign w:val="center"/>
          </w:tcPr>
          <w:p w:rsidR="00DE740C" w:rsidRDefault="00A93524">
            <w:pPr>
              <w:jc w:val="left"/>
            </w:pPr>
            <w:r>
              <w:rPr>
                <w:rFonts w:eastAsiaTheme="minorEastAsia"/>
                <w:color w:val="000000" w:themeColor="text1"/>
                <w:szCs w:val="21"/>
              </w:rPr>
              <w:t>自基金合同生效起至今</w:t>
            </w:r>
          </w:p>
        </w:tc>
        <w:tc>
          <w:tcPr>
            <w:tcW w:w="1291" w:type="dxa"/>
            <w:vAlign w:val="center"/>
          </w:tcPr>
          <w:p w:rsidR="00DE740C" w:rsidRDefault="00A93524">
            <w:pPr>
              <w:jc w:val="right"/>
            </w:pPr>
            <w:r>
              <w:rPr>
                <w:rFonts w:eastAsiaTheme="minorEastAsia"/>
                <w:color w:val="000000" w:themeColor="text1"/>
                <w:szCs w:val="21"/>
              </w:rPr>
              <w:t>6.85%</w:t>
            </w:r>
          </w:p>
        </w:tc>
        <w:tc>
          <w:tcPr>
            <w:tcW w:w="1291" w:type="dxa"/>
            <w:vAlign w:val="center"/>
          </w:tcPr>
          <w:p w:rsidR="00DE740C" w:rsidRDefault="00A93524">
            <w:pPr>
              <w:jc w:val="right"/>
            </w:pPr>
            <w:r>
              <w:rPr>
                <w:rFonts w:eastAsiaTheme="minorEastAsia"/>
                <w:color w:val="000000" w:themeColor="text1"/>
                <w:szCs w:val="21"/>
              </w:rPr>
              <w:t>0.07%</w:t>
            </w:r>
          </w:p>
        </w:tc>
        <w:tc>
          <w:tcPr>
            <w:tcW w:w="1291" w:type="dxa"/>
            <w:vAlign w:val="center"/>
          </w:tcPr>
          <w:p w:rsidR="00DE740C" w:rsidRDefault="00A93524">
            <w:pPr>
              <w:jc w:val="right"/>
            </w:pPr>
            <w:r>
              <w:rPr>
                <w:rFonts w:eastAsiaTheme="minorEastAsia"/>
                <w:color w:val="000000" w:themeColor="text1"/>
                <w:szCs w:val="21"/>
              </w:rPr>
              <w:t>7.25%</w:t>
            </w:r>
          </w:p>
        </w:tc>
        <w:tc>
          <w:tcPr>
            <w:tcW w:w="1291" w:type="dxa"/>
            <w:vAlign w:val="center"/>
          </w:tcPr>
          <w:p w:rsidR="00DE740C" w:rsidRDefault="00A93524">
            <w:pPr>
              <w:jc w:val="right"/>
            </w:pPr>
            <w:r>
              <w:rPr>
                <w:rFonts w:eastAsiaTheme="minorEastAsia"/>
                <w:color w:val="000000" w:themeColor="text1"/>
                <w:szCs w:val="21"/>
              </w:rPr>
              <w:t>0.12%</w:t>
            </w:r>
          </w:p>
        </w:tc>
        <w:tc>
          <w:tcPr>
            <w:tcW w:w="1291" w:type="dxa"/>
            <w:vAlign w:val="center"/>
          </w:tcPr>
          <w:p w:rsidR="00DE740C" w:rsidRDefault="00A93524">
            <w:pPr>
              <w:jc w:val="right"/>
            </w:pPr>
            <w:r>
              <w:rPr>
                <w:rFonts w:eastAsiaTheme="minorEastAsia"/>
                <w:color w:val="000000" w:themeColor="text1"/>
                <w:szCs w:val="21"/>
              </w:rPr>
              <w:t>-0.40%</w:t>
            </w:r>
          </w:p>
        </w:tc>
        <w:tc>
          <w:tcPr>
            <w:tcW w:w="1291" w:type="dxa"/>
            <w:vAlign w:val="center"/>
          </w:tcPr>
          <w:p w:rsidR="00DE740C" w:rsidRDefault="00A93524">
            <w:pPr>
              <w:jc w:val="right"/>
            </w:pPr>
            <w:r>
              <w:rPr>
                <w:rFonts w:eastAsiaTheme="minorEastAsia"/>
                <w:color w:val="000000" w:themeColor="text1"/>
                <w:szCs w:val="21"/>
              </w:rPr>
              <w:t>-0.05%</w:t>
            </w:r>
          </w:p>
        </w:tc>
      </w:tr>
    </w:tbl>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5"/>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5E6DF3" w:rsidRDefault="005C671B">
      <w:pPr>
        <w:spacing w:line="360" w:lineRule="auto"/>
        <w:jc w:val="center"/>
        <w:rPr>
          <w:rFonts w:eastAsiaTheme="minorEastAsia"/>
          <w:color w:val="000000" w:themeColor="text1"/>
          <w:szCs w:val="21"/>
        </w:rPr>
      </w:pPr>
      <w:r>
        <w:rPr>
          <w:rFonts w:eastAsiaTheme="minorEastAsia"/>
          <w:color w:val="000000" w:themeColor="text1"/>
          <w:szCs w:val="21"/>
        </w:rPr>
        <w:t>上投摩根岁岁益定期开放债券型证券投资基金</w:t>
      </w:r>
    </w:p>
    <w:p w:rsidR="005E6DF3" w:rsidRDefault="005C671B">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5E6DF3" w:rsidRDefault="005C671B">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1</w:t>
      </w:r>
      <w:r>
        <w:rPr>
          <w:rFonts w:ascii="Times New Roman" w:eastAsiaTheme="minorEastAsia" w:hAnsi="Times New Roman"/>
          <w:color w:val="000000" w:themeColor="text1"/>
        </w:rPr>
        <w:t>月</w:t>
      </w:r>
      <w:r>
        <w:rPr>
          <w:rFonts w:ascii="Times New Roman" w:eastAsiaTheme="minorEastAsia" w:hAnsi="Times New Roman"/>
          <w:color w:val="000000" w:themeColor="text1"/>
        </w:rPr>
        <w:t>25</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3</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5E6DF3" w:rsidRDefault="005C671B">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．上投摩根岁岁益定期开放债券</w:t>
      </w:r>
      <w:r>
        <w:rPr>
          <w:rFonts w:eastAsiaTheme="minorEastAsia"/>
          <w:color w:val="000000" w:themeColor="text1"/>
          <w:szCs w:val="21"/>
        </w:rPr>
        <w:t>A</w:t>
      </w:r>
      <w:r>
        <w:rPr>
          <w:rFonts w:eastAsiaTheme="minorEastAsia"/>
          <w:color w:val="000000" w:themeColor="text1"/>
          <w:szCs w:val="21"/>
        </w:rPr>
        <w:t>：</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日，图示的时间段为合同生效日至本报告期末。</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Default="005C671B">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．上投摩根岁岁益定期开放债券</w:t>
      </w:r>
      <w:r>
        <w:rPr>
          <w:rFonts w:eastAsiaTheme="minorEastAsia"/>
          <w:color w:val="000000" w:themeColor="text1"/>
          <w:szCs w:val="21"/>
        </w:rPr>
        <w:t>C</w:t>
      </w:r>
      <w:r>
        <w:rPr>
          <w:rFonts w:eastAsiaTheme="minorEastAsia"/>
          <w:color w:val="000000" w:themeColor="text1"/>
          <w:szCs w:val="21"/>
        </w:rPr>
        <w:t>：</w:t>
      </w:r>
    </w:p>
    <w:p w:rsidR="005E6DF3"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日，图示的时间段为合同生效日至本报告期末。</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Default="005E6DF3">
      <w:pPr>
        <w:tabs>
          <w:tab w:val="left" w:pos="1800"/>
        </w:tabs>
        <w:spacing w:line="288" w:lineRule="auto"/>
        <w:rPr>
          <w:rFonts w:eastAsia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tc>
          <w:tcPr>
            <w:tcW w:w="952"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5E6DF3">
        <w:tc>
          <w:tcPr>
            <w:tcW w:w="952"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DE740C">
        <w:tc>
          <w:tcPr>
            <w:tcW w:w="952" w:type="dxa"/>
            <w:vAlign w:val="center"/>
          </w:tcPr>
          <w:p w:rsidR="00DE740C" w:rsidRDefault="00A93524">
            <w:pPr>
              <w:jc w:val="center"/>
            </w:pPr>
            <w:r>
              <w:rPr>
                <w:rFonts w:eastAsiaTheme="minorEastAsia"/>
                <w:color w:val="000000" w:themeColor="text1"/>
                <w:szCs w:val="21"/>
              </w:rPr>
              <w:t>聂曙光</w:t>
            </w:r>
          </w:p>
        </w:tc>
        <w:tc>
          <w:tcPr>
            <w:tcW w:w="930" w:type="dxa"/>
            <w:vAlign w:val="center"/>
          </w:tcPr>
          <w:p w:rsidR="00DE740C" w:rsidRDefault="00A93524">
            <w:pPr>
              <w:jc w:val="center"/>
            </w:pPr>
            <w:r>
              <w:rPr>
                <w:rFonts w:eastAsiaTheme="minorEastAsia"/>
                <w:color w:val="000000" w:themeColor="text1"/>
                <w:szCs w:val="21"/>
              </w:rPr>
              <w:t>本基金基金经理、债券投资部总监</w:t>
            </w:r>
          </w:p>
        </w:tc>
        <w:tc>
          <w:tcPr>
            <w:tcW w:w="1210" w:type="dxa"/>
            <w:vAlign w:val="center"/>
          </w:tcPr>
          <w:p w:rsidR="00DE740C" w:rsidRDefault="00A93524">
            <w:pPr>
              <w:jc w:val="center"/>
            </w:pPr>
            <w:r>
              <w:rPr>
                <w:rFonts w:eastAsiaTheme="minorEastAsia"/>
                <w:color w:val="000000" w:themeColor="text1"/>
                <w:szCs w:val="21"/>
              </w:rPr>
              <w:t>2019-08-29</w:t>
            </w:r>
          </w:p>
        </w:tc>
        <w:tc>
          <w:tcPr>
            <w:tcW w:w="1309" w:type="dxa"/>
            <w:vAlign w:val="center"/>
          </w:tcPr>
          <w:p w:rsidR="00DE740C" w:rsidRDefault="00A93524">
            <w:pPr>
              <w:jc w:val="center"/>
            </w:pPr>
            <w:r>
              <w:rPr>
                <w:rFonts w:eastAsiaTheme="minorEastAsia"/>
                <w:color w:val="000000" w:themeColor="text1"/>
                <w:szCs w:val="21"/>
              </w:rPr>
              <w:t>-</w:t>
            </w:r>
          </w:p>
        </w:tc>
        <w:tc>
          <w:tcPr>
            <w:tcW w:w="1254" w:type="dxa"/>
            <w:vAlign w:val="center"/>
          </w:tcPr>
          <w:p w:rsidR="00DE740C" w:rsidRDefault="00A93524">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DE740C" w:rsidRDefault="00A93524">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月起加入上投摩根基金管理有限公司，先后担任基金经理、债券投资部总监兼资深基金经理，自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w:t>
            </w:r>
            <w:r>
              <w:rPr>
                <w:rFonts w:eastAsiaTheme="minorEastAsia"/>
                <w:color w:val="000000" w:themeColor="text1"/>
                <w:szCs w:val="21"/>
              </w:rPr>
              <w:lastRenderedPageBreak/>
              <w:t>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月起同时担任上投摩根稳进回报混合型证券投资基金基金经理，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月同时担任上投摩根天颐年丰混合型证券投资基金基金经理，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月同时担任上投摩根优信增利债券型证券投资基金基金经理，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月同时担任上投摩根安瑞回报混合型证券投资基金基金经理，自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月起同时担任上投摩根岁岁益定期开放债券型证券投资基金和上投摩根丰瑞债券型证券投资基金基金经理，自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月起同时担任上投摩根瑞盛</w:t>
            </w:r>
            <w:r>
              <w:rPr>
                <w:rFonts w:eastAsiaTheme="minorEastAsia"/>
                <w:color w:val="000000" w:themeColor="text1"/>
                <w:szCs w:val="21"/>
              </w:rPr>
              <w:t>87</w:t>
            </w:r>
            <w:r>
              <w:rPr>
                <w:rFonts w:eastAsiaTheme="minorEastAsia"/>
                <w:color w:val="000000" w:themeColor="text1"/>
                <w:szCs w:val="21"/>
              </w:rPr>
              <w:t>个月定期开放债券型证券投资基金基金经理。</w:t>
            </w:r>
          </w:p>
        </w:tc>
      </w:tr>
      <w:tr w:rsidR="00DE740C">
        <w:tc>
          <w:tcPr>
            <w:tcW w:w="952" w:type="dxa"/>
            <w:vAlign w:val="center"/>
          </w:tcPr>
          <w:p w:rsidR="00DE740C" w:rsidRDefault="00A93524">
            <w:pPr>
              <w:jc w:val="center"/>
            </w:pPr>
            <w:r>
              <w:rPr>
                <w:rFonts w:eastAsiaTheme="minorEastAsia"/>
                <w:color w:val="000000" w:themeColor="text1"/>
                <w:szCs w:val="21"/>
              </w:rPr>
              <w:lastRenderedPageBreak/>
              <w:t>任翔</w:t>
            </w:r>
          </w:p>
        </w:tc>
        <w:tc>
          <w:tcPr>
            <w:tcW w:w="930" w:type="dxa"/>
            <w:vAlign w:val="center"/>
          </w:tcPr>
          <w:p w:rsidR="00DE740C" w:rsidRDefault="00A93524">
            <w:pPr>
              <w:jc w:val="center"/>
            </w:pPr>
            <w:r>
              <w:rPr>
                <w:rFonts w:eastAsiaTheme="minorEastAsia"/>
                <w:color w:val="000000" w:themeColor="text1"/>
                <w:szCs w:val="21"/>
              </w:rPr>
              <w:t>本基金基金经理、固收研究部总监</w:t>
            </w:r>
          </w:p>
        </w:tc>
        <w:tc>
          <w:tcPr>
            <w:tcW w:w="1210" w:type="dxa"/>
            <w:vAlign w:val="center"/>
          </w:tcPr>
          <w:p w:rsidR="00DE740C" w:rsidRDefault="00A93524">
            <w:pPr>
              <w:jc w:val="center"/>
            </w:pPr>
            <w:r>
              <w:rPr>
                <w:rFonts w:eastAsiaTheme="minorEastAsia"/>
                <w:color w:val="000000" w:themeColor="text1"/>
                <w:szCs w:val="21"/>
              </w:rPr>
              <w:t>2020-09-04</w:t>
            </w:r>
          </w:p>
        </w:tc>
        <w:tc>
          <w:tcPr>
            <w:tcW w:w="1309" w:type="dxa"/>
            <w:vAlign w:val="center"/>
          </w:tcPr>
          <w:p w:rsidR="00DE740C" w:rsidRDefault="00A93524">
            <w:pPr>
              <w:jc w:val="center"/>
            </w:pPr>
            <w:r>
              <w:rPr>
                <w:rFonts w:eastAsiaTheme="minorEastAsia"/>
                <w:color w:val="000000" w:themeColor="text1"/>
                <w:szCs w:val="21"/>
              </w:rPr>
              <w:t>-</w:t>
            </w:r>
          </w:p>
        </w:tc>
        <w:tc>
          <w:tcPr>
            <w:tcW w:w="1254" w:type="dxa"/>
            <w:vAlign w:val="center"/>
          </w:tcPr>
          <w:p w:rsidR="00DE740C" w:rsidRDefault="00A93524">
            <w:pPr>
              <w:jc w:val="center"/>
            </w:pPr>
            <w:r>
              <w:rPr>
                <w:rFonts w:eastAsiaTheme="minorEastAsia"/>
                <w:color w:val="000000" w:themeColor="text1"/>
                <w:szCs w:val="21"/>
              </w:rPr>
              <w:t>7</w:t>
            </w:r>
            <w:r>
              <w:rPr>
                <w:rFonts w:eastAsiaTheme="minorEastAsia"/>
                <w:color w:val="000000" w:themeColor="text1"/>
                <w:szCs w:val="21"/>
              </w:rPr>
              <w:t>年</w:t>
            </w:r>
          </w:p>
        </w:tc>
        <w:tc>
          <w:tcPr>
            <w:tcW w:w="3276" w:type="dxa"/>
            <w:vAlign w:val="center"/>
          </w:tcPr>
          <w:p w:rsidR="00DE740C" w:rsidRDefault="00A93524">
            <w:r>
              <w:rPr>
                <w:rFonts w:eastAsiaTheme="minorEastAsia"/>
                <w:color w:val="000000" w:themeColor="text1"/>
                <w:szCs w:val="21"/>
              </w:rPr>
              <w:t>任翔先生，</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CPA</w:t>
            </w:r>
            <w:r>
              <w:rPr>
                <w:rFonts w:eastAsiaTheme="minorEastAsia"/>
                <w:color w:val="000000" w:themeColor="text1"/>
                <w:szCs w:val="21"/>
              </w:rPr>
              <w:t>，上海交通大学硕士，现任基金经理兼固收研究部总监。任翔先生自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月，在德勤华永会计师事务所有限公司任高级审计师；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月，在汇丰银行（中国）有限公司任客户审计经理；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月起加入上投摩根基金管理有限公司，历任研究员、投资经理助理、投资经理兼债券研究部副总监、投资经理兼</w:t>
            </w:r>
            <w:r>
              <w:rPr>
                <w:rFonts w:eastAsiaTheme="minorEastAsia"/>
                <w:color w:val="000000" w:themeColor="text1"/>
                <w:szCs w:val="21"/>
              </w:rPr>
              <w:lastRenderedPageBreak/>
              <w:t>固收研究部总监，现任债券投资部基金经理兼固收研究部总监，自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月起任上投摩根瑞益纯债债券型证券投资基金基金经理，自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月起同时担任上投摩根瑞泰</w:t>
            </w:r>
            <w:r>
              <w:rPr>
                <w:rFonts w:eastAsiaTheme="minorEastAsia"/>
                <w:color w:val="000000" w:themeColor="text1"/>
                <w:szCs w:val="21"/>
              </w:rPr>
              <w:t>38</w:t>
            </w:r>
            <w:r>
              <w:rPr>
                <w:rFonts w:eastAsiaTheme="minorEastAsia"/>
                <w:color w:val="000000" w:themeColor="text1"/>
                <w:szCs w:val="21"/>
              </w:rPr>
              <w:t>个月定期开放债券型证券投资基金基金经理，自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月起同时担任上投摩根纯债添利债券型证券投资基金基金经理，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月起同时担任上投摩根岁岁益定期开放债券型证券投资基金基金经理。</w:t>
            </w:r>
          </w:p>
        </w:tc>
      </w:tr>
    </w:tbl>
    <w:p w:rsidR="00DE740C" w:rsidRDefault="00A9352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岁岁益定期开放债券型证券投资基金基金合同》的规定。基金经理对个股和投资组合的比例遵循了投资决策委员会的授权限制，基金投资比例符合基金合同和法律法规的要求。</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lastRenderedPageBreak/>
        <w:t>平分配。</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跨过</w:t>
      </w:r>
      <w:r>
        <w:rPr>
          <w:rFonts w:eastAsiaTheme="minorEastAsia"/>
          <w:color w:val="000000" w:themeColor="text1"/>
          <w:szCs w:val="21"/>
        </w:rPr>
        <w:t>2020</w:t>
      </w:r>
      <w:r>
        <w:rPr>
          <w:rFonts w:eastAsiaTheme="minorEastAsia"/>
          <w:color w:val="000000" w:themeColor="text1"/>
          <w:szCs w:val="21"/>
        </w:rPr>
        <w:t>年底后，资金面极度宽松，</w:t>
      </w:r>
      <w:r>
        <w:rPr>
          <w:rFonts w:eastAsiaTheme="minorEastAsia"/>
          <w:color w:val="000000" w:themeColor="text1"/>
          <w:szCs w:val="21"/>
        </w:rPr>
        <w:t>12</w:t>
      </w:r>
      <w:r>
        <w:rPr>
          <w:rFonts w:eastAsiaTheme="minorEastAsia"/>
          <w:color w:val="000000" w:themeColor="text1"/>
          <w:szCs w:val="21"/>
        </w:rPr>
        <w:t>月社融数据不及预期，但经济数据延续强势，影响债市的因素多空交织，收益率横盘震荡。后续资金面边际收紧，</w:t>
      </w:r>
      <w:r>
        <w:rPr>
          <w:rFonts w:eastAsiaTheme="minorEastAsia"/>
          <w:color w:val="000000" w:themeColor="text1"/>
          <w:szCs w:val="21"/>
        </w:rPr>
        <w:t>A</w:t>
      </w:r>
      <w:r>
        <w:rPr>
          <w:rFonts w:eastAsiaTheme="minorEastAsia"/>
          <w:color w:val="000000" w:themeColor="text1"/>
          <w:szCs w:val="21"/>
        </w:rPr>
        <w:t>股连续快速上涨以及部分一线城市房价的快速上行加剧了市场对于央行或收紧流动性的担忧，在此情形下，收益率缓步上行。随着全球疫情拐点出现以及美国财政刺激方案的逐步明晰，美债收益率大幅上行，带动风险资产价格回落，</w:t>
      </w:r>
      <w:r>
        <w:rPr>
          <w:rFonts w:eastAsiaTheme="minorEastAsia"/>
          <w:color w:val="000000" w:themeColor="text1"/>
          <w:szCs w:val="21"/>
        </w:rPr>
        <w:t>A</w:t>
      </w:r>
      <w:r>
        <w:rPr>
          <w:rFonts w:eastAsiaTheme="minorEastAsia"/>
          <w:color w:val="000000" w:themeColor="text1"/>
          <w:szCs w:val="21"/>
        </w:rPr>
        <w:t>股亦受此影响迎来下跌，一定程度上对债市形成支撑，收益率稳中有降。</w:t>
      </w:r>
      <w:r>
        <w:rPr>
          <w:rFonts w:eastAsiaTheme="minorEastAsia"/>
          <w:color w:val="000000" w:themeColor="text1"/>
          <w:szCs w:val="21"/>
        </w:rPr>
        <w:t>3</w:t>
      </w:r>
      <w:r>
        <w:rPr>
          <w:rFonts w:eastAsiaTheme="minorEastAsia"/>
          <w:color w:val="000000" w:themeColor="text1"/>
          <w:szCs w:val="21"/>
        </w:rPr>
        <w:t>月，中美阿拉斯加会谈结果并不乐观，市场避险情绪升温，同时由于机构普遍久期较低，存在一定欠配，市场做多情绪较强，债券收益率迎来一波下行。</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本基金在一季度为应对即将到来的开放期，以资产变现操作为主，保障基金流动性需求，持仓资产以超短久期债券及货币工具为主。</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展望后市，经济修复进程仍在持续，当前基本面形势良好，社融虽已见顶回落但仍处高位，二季度</w:t>
      </w:r>
      <w:r>
        <w:rPr>
          <w:rFonts w:eastAsiaTheme="minorEastAsia"/>
          <w:color w:val="000000" w:themeColor="text1"/>
          <w:szCs w:val="21"/>
        </w:rPr>
        <w:t>PPI</w:t>
      </w:r>
      <w:r>
        <w:rPr>
          <w:rFonts w:eastAsiaTheme="minorEastAsia"/>
          <w:color w:val="000000" w:themeColor="text1"/>
          <w:szCs w:val="21"/>
        </w:rPr>
        <w:t>可能迎来阶段性高点。在此情形下，货币政策易紧难松，收益率难有趋势性机会。技术面上，当前市场估值较为合理，投资者整体久期较低，因此风险亦不高，存在交易性机会。后续将关注经济复苏的可持续性，特别是国际关系演绎及全球经济复苏背景下中国出口的走势。</w:t>
      </w:r>
    </w:p>
    <w:p w:rsidR="005E6DF3" w:rsidRDefault="005C671B">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本报告期上投摩根岁岁益定期开放债券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:-2.25%</w:t>
      </w:r>
      <w:r>
        <w:rPr>
          <w:rFonts w:eastAsiaTheme="minorEastAsia"/>
          <w:color w:val="000000" w:themeColor="text1"/>
          <w:szCs w:val="21"/>
        </w:rPr>
        <w:t>，同期业绩比较基准收益率为</w:t>
      </w:r>
      <w:r>
        <w:rPr>
          <w:rFonts w:eastAsiaTheme="minorEastAsia"/>
          <w:color w:val="000000" w:themeColor="text1"/>
          <w:szCs w:val="21"/>
        </w:rPr>
        <w:t>:-0.21%,</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上投摩根岁岁益定期开放债券</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:-2.33%</w:t>
      </w:r>
      <w:r>
        <w:rPr>
          <w:rFonts w:eastAsiaTheme="minorEastAsia"/>
          <w:color w:val="000000" w:themeColor="text1"/>
          <w:szCs w:val="21"/>
        </w:rPr>
        <w:t>，同期业绩比较基准收益率为</w:t>
      </w:r>
      <w:r>
        <w:rPr>
          <w:rFonts w:eastAsiaTheme="minorEastAsia"/>
          <w:color w:val="000000" w:themeColor="text1"/>
          <w:szCs w:val="21"/>
        </w:rPr>
        <w:t>:-0.21%</w:t>
      </w:r>
      <w:r>
        <w:rPr>
          <w:rFonts w:eastAsiaTheme="minorEastAsia"/>
          <w:color w:val="000000" w:themeColor="text1"/>
          <w:szCs w:val="21"/>
        </w:rPr>
        <w:t>。</w:t>
      </w:r>
    </w:p>
    <w:p w:rsidR="005E6DF3" w:rsidRDefault="005E6DF3">
      <w:pPr>
        <w:spacing w:line="360" w:lineRule="auto"/>
        <w:ind w:firstLineChars="200" w:firstLine="420"/>
        <w:rPr>
          <w:rFonts w:eastAsiaTheme="minorEastAsia"/>
          <w:color w:val="000000" w:themeColor="text1"/>
          <w:szCs w:val="21"/>
        </w:rPr>
      </w:pPr>
    </w:p>
    <w:p w:rsidR="005E6DF3" w:rsidRDefault="005C671B">
      <w:pPr>
        <w:spacing w:line="360" w:lineRule="auto"/>
        <w:rPr>
          <w:rFonts w:eastAsiaTheme="minorEastAsia"/>
          <w:color w:val="000000" w:themeColor="text1"/>
          <w:szCs w:val="21"/>
        </w:rPr>
      </w:pPr>
      <w:r>
        <w:rPr>
          <w:rFonts w:eastAsiaTheme="minorEastAsia"/>
          <w:b/>
          <w:color w:val="000000" w:themeColor="text1"/>
          <w:kern w:val="0"/>
          <w:szCs w:val="21"/>
        </w:rPr>
        <w:lastRenderedPageBreak/>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5E6DF3" w:rsidRDefault="005C671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5E6DF3" w:rsidRDefault="005E6DF3">
      <w:pPr>
        <w:spacing w:line="360" w:lineRule="auto"/>
        <w:ind w:firstLineChars="200" w:firstLine="420"/>
        <w:rPr>
          <w:rFonts w:asciiTheme="minorEastAsia" w:eastAsiaTheme="minorEastAsia" w:hAnsiTheme="minorEastAsia"/>
          <w:color w:val="000000" w:themeColor="text1"/>
          <w:szCs w:val="21"/>
        </w:rPr>
      </w:pP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5E6DF3" w:rsidRDefault="005C671B">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834,308,000.00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53.22</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834,308,000.00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53.22</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5E6DF3" w:rsidRDefault="005C671B">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579,401,464.10</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36.96</w:t>
            </w:r>
          </w:p>
        </w:tc>
      </w:tr>
      <w:tr w:rsidR="005E6DF3">
        <w:tc>
          <w:tcPr>
            <w:tcW w:w="720" w:type="dxa"/>
            <w:vAlign w:val="center"/>
          </w:tcPr>
          <w:p w:rsidR="005E6DF3"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100,165,614.63</w:t>
            </w:r>
          </w:p>
        </w:tc>
        <w:tc>
          <w:tcPr>
            <w:tcW w:w="1843"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6.39</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53,888,219.24</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3.44</w:t>
            </w:r>
          </w:p>
        </w:tc>
      </w:tr>
      <w:tr w:rsidR="005E6DF3">
        <w:tc>
          <w:tcPr>
            <w:tcW w:w="72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5E6DF3" w:rsidRDefault="005C671B">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1,567,763,297.97</w:t>
            </w:r>
          </w:p>
        </w:tc>
        <w:tc>
          <w:tcPr>
            <w:tcW w:w="1843" w:type="dxa"/>
            <w:vAlign w:val="center"/>
          </w:tcPr>
          <w:p w:rsidR="005E6DF3" w:rsidRDefault="005C671B">
            <w:pPr>
              <w:jc w:val="right"/>
              <w:rPr>
                <w:rFonts w:eastAsiaTheme="minorEastAsia"/>
                <w:color w:val="000000" w:themeColor="text1"/>
                <w:szCs w:val="21"/>
              </w:rPr>
            </w:pPr>
            <w:r>
              <w:rPr>
                <w:rFonts w:eastAsiaTheme="minorEastAsia"/>
                <w:color w:val="000000" w:themeColor="text1"/>
                <w:szCs w:val="21"/>
              </w:rPr>
              <w:t>100.00</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5E6DF3" w:rsidRDefault="005C671B">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150,030,000.00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9.58</w:t>
            </w:r>
          </w:p>
        </w:tc>
      </w:tr>
      <w:tr w:rsidR="005E6DF3">
        <w:tc>
          <w:tcPr>
            <w:tcW w:w="817" w:type="dxa"/>
            <w:vAlign w:val="center"/>
          </w:tcPr>
          <w:p w:rsidR="005E6DF3"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150,030,000.00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9.58</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119,992,000.00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7.66</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260,272,000.00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16.62</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304,014,000.00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19.41</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817" w:type="dxa"/>
            <w:vAlign w:val="center"/>
          </w:tcPr>
          <w:p w:rsidR="005E6DF3" w:rsidRDefault="005C671B">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5E6DF3" w:rsidRDefault="005C671B">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834,308,000.00</w:t>
            </w:r>
          </w:p>
        </w:tc>
        <w:tc>
          <w:tcPr>
            <w:tcW w:w="1616" w:type="dxa"/>
            <w:vAlign w:val="center"/>
          </w:tcPr>
          <w:p w:rsidR="005E6DF3" w:rsidRDefault="005C671B">
            <w:pPr>
              <w:spacing w:before="29" w:line="360" w:lineRule="auto"/>
              <w:ind w:left="17"/>
              <w:jc w:val="right"/>
              <w:rPr>
                <w:rFonts w:eastAsiaTheme="minorEastAsia"/>
                <w:color w:val="000000" w:themeColor="text1"/>
                <w:szCs w:val="21"/>
              </w:rPr>
            </w:pPr>
            <w:r>
              <w:rPr>
                <w:rFonts w:eastAsiaTheme="minorEastAsia"/>
                <w:color w:val="000000" w:themeColor="text1"/>
                <w:szCs w:val="21"/>
              </w:rPr>
              <w:t>53.26</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5E6DF3" w:rsidRDefault="005C671B">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DE740C">
        <w:tc>
          <w:tcPr>
            <w:tcW w:w="1504" w:type="dxa"/>
            <w:vAlign w:val="center"/>
          </w:tcPr>
          <w:p w:rsidR="00DE740C" w:rsidRDefault="00A93524">
            <w:pPr>
              <w:jc w:val="center"/>
            </w:pPr>
            <w:r>
              <w:rPr>
                <w:rFonts w:eastAsiaTheme="minorEastAsia"/>
                <w:color w:val="000000" w:themeColor="text1"/>
                <w:szCs w:val="21"/>
              </w:rPr>
              <w:t>1</w:t>
            </w:r>
          </w:p>
        </w:tc>
        <w:tc>
          <w:tcPr>
            <w:tcW w:w="1504" w:type="dxa"/>
            <w:vAlign w:val="center"/>
          </w:tcPr>
          <w:p w:rsidR="00DE740C" w:rsidRDefault="00A93524">
            <w:pPr>
              <w:jc w:val="center"/>
            </w:pPr>
            <w:r>
              <w:rPr>
                <w:rFonts w:eastAsiaTheme="minorEastAsia"/>
                <w:color w:val="000000" w:themeColor="text1"/>
                <w:szCs w:val="21"/>
              </w:rPr>
              <w:t>160413</w:t>
            </w:r>
          </w:p>
        </w:tc>
        <w:tc>
          <w:tcPr>
            <w:tcW w:w="1504" w:type="dxa"/>
            <w:vAlign w:val="center"/>
          </w:tcPr>
          <w:p w:rsidR="00DE740C" w:rsidRDefault="00A93524">
            <w:pPr>
              <w:jc w:val="center"/>
            </w:pPr>
            <w:r>
              <w:rPr>
                <w:rFonts w:eastAsiaTheme="minorEastAsia"/>
                <w:color w:val="000000" w:themeColor="text1"/>
                <w:szCs w:val="21"/>
              </w:rPr>
              <w:t>16</w:t>
            </w:r>
            <w:r>
              <w:rPr>
                <w:rFonts w:eastAsiaTheme="minorEastAsia"/>
                <w:color w:val="000000" w:themeColor="text1"/>
                <w:szCs w:val="21"/>
              </w:rPr>
              <w:t>农发</w:t>
            </w:r>
            <w:r>
              <w:rPr>
                <w:rFonts w:eastAsiaTheme="minorEastAsia"/>
                <w:color w:val="000000" w:themeColor="text1"/>
                <w:szCs w:val="21"/>
              </w:rPr>
              <w:t>13</w:t>
            </w:r>
          </w:p>
        </w:tc>
        <w:tc>
          <w:tcPr>
            <w:tcW w:w="1503" w:type="dxa"/>
            <w:vAlign w:val="center"/>
          </w:tcPr>
          <w:p w:rsidR="00DE740C" w:rsidRDefault="00A93524">
            <w:pPr>
              <w:jc w:val="right"/>
            </w:pPr>
            <w:r>
              <w:rPr>
                <w:rFonts w:eastAsiaTheme="minorEastAsia"/>
                <w:color w:val="000000" w:themeColor="text1"/>
                <w:szCs w:val="21"/>
              </w:rPr>
              <w:t>1,500,000</w:t>
            </w:r>
          </w:p>
        </w:tc>
        <w:tc>
          <w:tcPr>
            <w:tcW w:w="1503" w:type="dxa"/>
            <w:vAlign w:val="center"/>
          </w:tcPr>
          <w:p w:rsidR="00DE740C" w:rsidRDefault="00A93524">
            <w:pPr>
              <w:jc w:val="right"/>
            </w:pPr>
            <w:r>
              <w:rPr>
                <w:rFonts w:eastAsiaTheme="minorEastAsia"/>
                <w:color w:val="000000" w:themeColor="text1"/>
                <w:szCs w:val="21"/>
              </w:rPr>
              <w:t>150,030,000.00</w:t>
            </w:r>
          </w:p>
        </w:tc>
        <w:tc>
          <w:tcPr>
            <w:tcW w:w="1503" w:type="dxa"/>
            <w:vAlign w:val="center"/>
          </w:tcPr>
          <w:p w:rsidR="00DE740C" w:rsidRDefault="00A93524">
            <w:pPr>
              <w:jc w:val="right"/>
            </w:pPr>
            <w:r>
              <w:rPr>
                <w:rFonts w:eastAsiaTheme="minorEastAsia"/>
                <w:color w:val="000000" w:themeColor="text1"/>
                <w:szCs w:val="21"/>
              </w:rPr>
              <w:t>9.58</w:t>
            </w:r>
          </w:p>
        </w:tc>
      </w:tr>
      <w:tr w:rsidR="00DE740C">
        <w:tc>
          <w:tcPr>
            <w:tcW w:w="1504" w:type="dxa"/>
            <w:vAlign w:val="center"/>
          </w:tcPr>
          <w:p w:rsidR="00DE740C" w:rsidRDefault="00A93524">
            <w:pPr>
              <w:jc w:val="center"/>
            </w:pPr>
            <w:r>
              <w:rPr>
                <w:rFonts w:eastAsiaTheme="minorEastAsia"/>
                <w:color w:val="000000" w:themeColor="text1"/>
                <w:szCs w:val="21"/>
              </w:rPr>
              <w:t>2</w:t>
            </w:r>
          </w:p>
        </w:tc>
        <w:tc>
          <w:tcPr>
            <w:tcW w:w="1504" w:type="dxa"/>
            <w:vAlign w:val="center"/>
          </w:tcPr>
          <w:p w:rsidR="00DE740C" w:rsidRDefault="00A93524">
            <w:pPr>
              <w:jc w:val="center"/>
            </w:pPr>
            <w:r>
              <w:rPr>
                <w:rFonts w:eastAsiaTheme="minorEastAsia"/>
                <w:color w:val="000000" w:themeColor="text1"/>
                <w:szCs w:val="21"/>
              </w:rPr>
              <w:t>072100004</w:t>
            </w:r>
          </w:p>
        </w:tc>
        <w:tc>
          <w:tcPr>
            <w:tcW w:w="1504" w:type="dxa"/>
            <w:vAlign w:val="center"/>
          </w:tcPr>
          <w:p w:rsidR="00DE740C" w:rsidRDefault="00A93524">
            <w:pPr>
              <w:jc w:val="center"/>
            </w:pPr>
            <w:r>
              <w:rPr>
                <w:rFonts w:eastAsiaTheme="minorEastAsia"/>
                <w:color w:val="000000" w:themeColor="text1"/>
                <w:szCs w:val="21"/>
              </w:rPr>
              <w:t>21</w:t>
            </w:r>
            <w:r>
              <w:rPr>
                <w:rFonts w:eastAsiaTheme="minorEastAsia"/>
                <w:color w:val="000000" w:themeColor="text1"/>
                <w:szCs w:val="21"/>
              </w:rPr>
              <w:t>招商证券</w:t>
            </w:r>
            <w:r>
              <w:rPr>
                <w:rFonts w:eastAsiaTheme="minorEastAsia"/>
                <w:color w:val="000000" w:themeColor="text1"/>
                <w:szCs w:val="21"/>
              </w:rPr>
              <w:t>CP001BC</w:t>
            </w:r>
          </w:p>
        </w:tc>
        <w:tc>
          <w:tcPr>
            <w:tcW w:w="1503" w:type="dxa"/>
            <w:vAlign w:val="center"/>
          </w:tcPr>
          <w:p w:rsidR="00DE740C" w:rsidRDefault="00A93524">
            <w:pPr>
              <w:jc w:val="right"/>
            </w:pPr>
            <w:r>
              <w:rPr>
                <w:rFonts w:eastAsiaTheme="minorEastAsia"/>
                <w:color w:val="000000" w:themeColor="text1"/>
                <w:szCs w:val="21"/>
              </w:rPr>
              <w:t>1,100,000</w:t>
            </w:r>
          </w:p>
        </w:tc>
        <w:tc>
          <w:tcPr>
            <w:tcW w:w="1503" w:type="dxa"/>
            <w:vAlign w:val="center"/>
          </w:tcPr>
          <w:p w:rsidR="00DE740C" w:rsidRDefault="00A93524">
            <w:pPr>
              <w:jc w:val="right"/>
            </w:pPr>
            <w:r>
              <w:rPr>
                <w:rFonts w:eastAsiaTheme="minorEastAsia"/>
                <w:color w:val="000000" w:themeColor="text1"/>
                <w:szCs w:val="21"/>
              </w:rPr>
              <w:t>110,132,000.00</w:t>
            </w:r>
          </w:p>
        </w:tc>
        <w:tc>
          <w:tcPr>
            <w:tcW w:w="1503" w:type="dxa"/>
            <w:vAlign w:val="center"/>
          </w:tcPr>
          <w:p w:rsidR="00DE740C" w:rsidRDefault="00A93524">
            <w:pPr>
              <w:jc w:val="right"/>
            </w:pPr>
            <w:r>
              <w:rPr>
                <w:rFonts w:eastAsiaTheme="minorEastAsia"/>
                <w:color w:val="000000" w:themeColor="text1"/>
                <w:szCs w:val="21"/>
              </w:rPr>
              <w:t>7.03</w:t>
            </w:r>
          </w:p>
        </w:tc>
      </w:tr>
      <w:tr w:rsidR="00DE740C">
        <w:tc>
          <w:tcPr>
            <w:tcW w:w="1504" w:type="dxa"/>
            <w:vAlign w:val="center"/>
          </w:tcPr>
          <w:p w:rsidR="00DE740C" w:rsidRDefault="00A93524">
            <w:pPr>
              <w:jc w:val="center"/>
            </w:pPr>
            <w:r>
              <w:rPr>
                <w:rFonts w:eastAsiaTheme="minorEastAsia"/>
                <w:color w:val="000000" w:themeColor="text1"/>
                <w:szCs w:val="21"/>
              </w:rPr>
              <w:t>3</w:t>
            </w:r>
          </w:p>
        </w:tc>
        <w:tc>
          <w:tcPr>
            <w:tcW w:w="1504" w:type="dxa"/>
            <w:vAlign w:val="center"/>
          </w:tcPr>
          <w:p w:rsidR="00DE740C" w:rsidRDefault="00A93524">
            <w:pPr>
              <w:jc w:val="center"/>
            </w:pPr>
            <w:r>
              <w:rPr>
                <w:rFonts w:eastAsiaTheme="minorEastAsia"/>
                <w:color w:val="000000" w:themeColor="text1"/>
                <w:szCs w:val="21"/>
              </w:rPr>
              <w:t>012100560</w:t>
            </w:r>
          </w:p>
        </w:tc>
        <w:tc>
          <w:tcPr>
            <w:tcW w:w="1504" w:type="dxa"/>
            <w:vAlign w:val="center"/>
          </w:tcPr>
          <w:p w:rsidR="00DE740C" w:rsidRDefault="00A93524">
            <w:pPr>
              <w:jc w:val="center"/>
            </w:pPr>
            <w:r>
              <w:rPr>
                <w:rFonts w:eastAsiaTheme="minorEastAsia"/>
                <w:color w:val="000000" w:themeColor="text1"/>
                <w:szCs w:val="21"/>
              </w:rPr>
              <w:t>21</w:t>
            </w:r>
            <w:r>
              <w:rPr>
                <w:rFonts w:eastAsiaTheme="minorEastAsia"/>
                <w:color w:val="000000" w:themeColor="text1"/>
                <w:szCs w:val="21"/>
              </w:rPr>
              <w:t>南航股</w:t>
            </w:r>
            <w:r>
              <w:rPr>
                <w:rFonts w:eastAsiaTheme="minorEastAsia"/>
                <w:color w:val="000000" w:themeColor="text1"/>
                <w:szCs w:val="21"/>
              </w:rPr>
              <w:t>SCP005</w:t>
            </w:r>
          </w:p>
        </w:tc>
        <w:tc>
          <w:tcPr>
            <w:tcW w:w="1503" w:type="dxa"/>
            <w:vAlign w:val="center"/>
          </w:tcPr>
          <w:p w:rsidR="00DE740C" w:rsidRDefault="00A93524">
            <w:pPr>
              <w:jc w:val="right"/>
            </w:pPr>
            <w:r>
              <w:rPr>
                <w:rFonts w:eastAsiaTheme="minorEastAsia"/>
                <w:color w:val="000000" w:themeColor="text1"/>
                <w:szCs w:val="21"/>
              </w:rPr>
              <w:t>1,000,000</w:t>
            </w:r>
          </w:p>
        </w:tc>
        <w:tc>
          <w:tcPr>
            <w:tcW w:w="1503" w:type="dxa"/>
            <w:vAlign w:val="center"/>
          </w:tcPr>
          <w:p w:rsidR="00DE740C" w:rsidRDefault="00A93524">
            <w:pPr>
              <w:jc w:val="right"/>
            </w:pPr>
            <w:r>
              <w:rPr>
                <w:rFonts w:eastAsiaTheme="minorEastAsia"/>
                <w:color w:val="000000" w:themeColor="text1"/>
                <w:szCs w:val="21"/>
              </w:rPr>
              <w:t>100,080,000.00</w:t>
            </w:r>
          </w:p>
        </w:tc>
        <w:tc>
          <w:tcPr>
            <w:tcW w:w="1503" w:type="dxa"/>
            <w:vAlign w:val="center"/>
          </w:tcPr>
          <w:p w:rsidR="00DE740C" w:rsidRDefault="00A93524">
            <w:pPr>
              <w:jc w:val="right"/>
            </w:pPr>
            <w:r>
              <w:rPr>
                <w:rFonts w:eastAsiaTheme="minorEastAsia"/>
                <w:color w:val="000000" w:themeColor="text1"/>
                <w:szCs w:val="21"/>
              </w:rPr>
              <w:t>6.39</w:t>
            </w:r>
          </w:p>
        </w:tc>
      </w:tr>
      <w:tr w:rsidR="00DE740C">
        <w:tc>
          <w:tcPr>
            <w:tcW w:w="1504" w:type="dxa"/>
            <w:vAlign w:val="center"/>
          </w:tcPr>
          <w:p w:rsidR="00DE740C" w:rsidRDefault="00A93524">
            <w:pPr>
              <w:jc w:val="center"/>
            </w:pPr>
            <w:r>
              <w:rPr>
                <w:rFonts w:eastAsiaTheme="minorEastAsia"/>
                <w:color w:val="000000" w:themeColor="text1"/>
                <w:szCs w:val="21"/>
              </w:rPr>
              <w:t>4</w:t>
            </w:r>
          </w:p>
        </w:tc>
        <w:tc>
          <w:tcPr>
            <w:tcW w:w="1504" w:type="dxa"/>
            <w:vAlign w:val="center"/>
          </w:tcPr>
          <w:p w:rsidR="00DE740C" w:rsidRDefault="00A93524">
            <w:pPr>
              <w:jc w:val="center"/>
            </w:pPr>
            <w:r>
              <w:rPr>
                <w:rFonts w:eastAsiaTheme="minorEastAsia"/>
                <w:color w:val="000000" w:themeColor="text1"/>
                <w:szCs w:val="21"/>
              </w:rPr>
              <w:t>112010245</w:t>
            </w:r>
          </w:p>
        </w:tc>
        <w:tc>
          <w:tcPr>
            <w:tcW w:w="1504" w:type="dxa"/>
            <w:vAlign w:val="center"/>
          </w:tcPr>
          <w:p w:rsidR="00DE740C" w:rsidRDefault="00A93524">
            <w:pPr>
              <w:jc w:val="center"/>
            </w:pPr>
            <w:r>
              <w:rPr>
                <w:rFonts w:eastAsiaTheme="minorEastAsia"/>
                <w:color w:val="000000" w:themeColor="text1"/>
                <w:szCs w:val="21"/>
              </w:rPr>
              <w:t>20</w:t>
            </w:r>
            <w:r>
              <w:rPr>
                <w:rFonts w:eastAsiaTheme="minorEastAsia"/>
                <w:color w:val="000000" w:themeColor="text1"/>
                <w:szCs w:val="21"/>
              </w:rPr>
              <w:t>兴业银行</w:t>
            </w:r>
            <w:r>
              <w:rPr>
                <w:rFonts w:eastAsiaTheme="minorEastAsia"/>
                <w:color w:val="000000" w:themeColor="text1"/>
                <w:szCs w:val="21"/>
              </w:rPr>
              <w:t>CD245</w:t>
            </w:r>
          </w:p>
        </w:tc>
        <w:tc>
          <w:tcPr>
            <w:tcW w:w="1503" w:type="dxa"/>
            <w:vAlign w:val="center"/>
          </w:tcPr>
          <w:p w:rsidR="00DE740C" w:rsidRDefault="00A93524">
            <w:pPr>
              <w:jc w:val="right"/>
            </w:pPr>
            <w:r>
              <w:rPr>
                <w:rFonts w:eastAsiaTheme="minorEastAsia"/>
                <w:color w:val="000000" w:themeColor="text1"/>
                <w:szCs w:val="21"/>
              </w:rPr>
              <w:t>1,000,000</w:t>
            </w:r>
          </w:p>
        </w:tc>
        <w:tc>
          <w:tcPr>
            <w:tcW w:w="1503" w:type="dxa"/>
            <w:vAlign w:val="center"/>
          </w:tcPr>
          <w:p w:rsidR="00DE740C" w:rsidRDefault="00A93524">
            <w:pPr>
              <w:jc w:val="right"/>
            </w:pPr>
            <w:r>
              <w:rPr>
                <w:rFonts w:eastAsiaTheme="minorEastAsia"/>
                <w:color w:val="000000" w:themeColor="text1"/>
                <w:szCs w:val="21"/>
              </w:rPr>
              <w:t>98,230,000.00</w:t>
            </w:r>
          </w:p>
        </w:tc>
        <w:tc>
          <w:tcPr>
            <w:tcW w:w="1503" w:type="dxa"/>
            <w:vAlign w:val="center"/>
          </w:tcPr>
          <w:p w:rsidR="00DE740C" w:rsidRDefault="00A93524">
            <w:pPr>
              <w:jc w:val="right"/>
            </w:pPr>
            <w:r>
              <w:rPr>
                <w:rFonts w:eastAsiaTheme="minorEastAsia"/>
                <w:color w:val="000000" w:themeColor="text1"/>
                <w:szCs w:val="21"/>
              </w:rPr>
              <w:t>6.27</w:t>
            </w:r>
          </w:p>
        </w:tc>
      </w:tr>
      <w:tr w:rsidR="00DE740C">
        <w:tc>
          <w:tcPr>
            <w:tcW w:w="1504" w:type="dxa"/>
            <w:vAlign w:val="center"/>
          </w:tcPr>
          <w:p w:rsidR="00DE740C" w:rsidRDefault="00A93524">
            <w:pPr>
              <w:jc w:val="center"/>
            </w:pPr>
            <w:r>
              <w:rPr>
                <w:rFonts w:eastAsiaTheme="minorEastAsia"/>
                <w:color w:val="000000" w:themeColor="text1"/>
                <w:szCs w:val="21"/>
              </w:rPr>
              <w:t>5</w:t>
            </w:r>
          </w:p>
        </w:tc>
        <w:tc>
          <w:tcPr>
            <w:tcW w:w="1504" w:type="dxa"/>
            <w:vAlign w:val="center"/>
          </w:tcPr>
          <w:p w:rsidR="00DE740C" w:rsidRDefault="00A93524">
            <w:pPr>
              <w:jc w:val="center"/>
            </w:pPr>
            <w:r>
              <w:rPr>
                <w:rFonts w:eastAsiaTheme="minorEastAsia"/>
                <w:color w:val="000000" w:themeColor="text1"/>
                <w:szCs w:val="21"/>
              </w:rPr>
              <w:t>112015152</w:t>
            </w:r>
          </w:p>
        </w:tc>
        <w:tc>
          <w:tcPr>
            <w:tcW w:w="1504" w:type="dxa"/>
            <w:vAlign w:val="center"/>
          </w:tcPr>
          <w:p w:rsidR="00DE740C" w:rsidRDefault="00A93524">
            <w:pPr>
              <w:jc w:val="center"/>
            </w:pPr>
            <w:r>
              <w:rPr>
                <w:rFonts w:eastAsiaTheme="minorEastAsia"/>
                <w:color w:val="000000" w:themeColor="text1"/>
                <w:szCs w:val="21"/>
              </w:rPr>
              <w:t>20</w:t>
            </w:r>
            <w:r>
              <w:rPr>
                <w:rFonts w:eastAsiaTheme="minorEastAsia"/>
                <w:color w:val="000000" w:themeColor="text1"/>
                <w:szCs w:val="21"/>
              </w:rPr>
              <w:t>民生银行</w:t>
            </w:r>
            <w:r>
              <w:rPr>
                <w:rFonts w:eastAsiaTheme="minorEastAsia"/>
                <w:color w:val="000000" w:themeColor="text1"/>
                <w:szCs w:val="21"/>
              </w:rPr>
              <w:t>CD152</w:t>
            </w:r>
          </w:p>
        </w:tc>
        <w:tc>
          <w:tcPr>
            <w:tcW w:w="1503" w:type="dxa"/>
            <w:vAlign w:val="center"/>
          </w:tcPr>
          <w:p w:rsidR="00DE740C" w:rsidRDefault="00A93524">
            <w:pPr>
              <w:jc w:val="right"/>
            </w:pPr>
            <w:r>
              <w:rPr>
                <w:rFonts w:eastAsiaTheme="minorEastAsia"/>
                <w:color w:val="000000" w:themeColor="text1"/>
                <w:szCs w:val="21"/>
              </w:rPr>
              <w:t>1,000,000</w:t>
            </w:r>
          </w:p>
        </w:tc>
        <w:tc>
          <w:tcPr>
            <w:tcW w:w="1503" w:type="dxa"/>
            <w:vAlign w:val="center"/>
          </w:tcPr>
          <w:p w:rsidR="00DE740C" w:rsidRDefault="00A93524">
            <w:pPr>
              <w:jc w:val="right"/>
            </w:pPr>
            <w:r>
              <w:rPr>
                <w:rFonts w:eastAsiaTheme="minorEastAsia"/>
                <w:color w:val="000000" w:themeColor="text1"/>
                <w:szCs w:val="21"/>
              </w:rPr>
              <w:t>97,980,000.00</w:t>
            </w:r>
          </w:p>
        </w:tc>
        <w:tc>
          <w:tcPr>
            <w:tcW w:w="1503" w:type="dxa"/>
            <w:vAlign w:val="center"/>
          </w:tcPr>
          <w:p w:rsidR="00DE740C" w:rsidRDefault="00A93524">
            <w:pPr>
              <w:jc w:val="right"/>
            </w:pPr>
            <w:r>
              <w:rPr>
                <w:rFonts w:eastAsiaTheme="minorEastAsia"/>
                <w:color w:val="000000" w:themeColor="text1"/>
                <w:szCs w:val="21"/>
              </w:rPr>
              <w:t>6.25</w:t>
            </w:r>
          </w:p>
        </w:tc>
      </w:tr>
      <w:tr w:rsidR="00DE740C">
        <w:tc>
          <w:tcPr>
            <w:tcW w:w="1504" w:type="dxa"/>
            <w:vAlign w:val="center"/>
          </w:tcPr>
          <w:p w:rsidR="00DE740C" w:rsidRDefault="00A93524">
            <w:pPr>
              <w:jc w:val="center"/>
            </w:pPr>
            <w:r>
              <w:rPr>
                <w:rFonts w:eastAsiaTheme="minorEastAsia"/>
                <w:color w:val="000000" w:themeColor="text1"/>
                <w:szCs w:val="21"/>
              </w:rPr>
              <w:t>6</w:t>
            </w:r>
          </w:p>
        </w:tc>
        <w:tc>
          <w:tcPr>
            <w:tcW w:w="1504" w:type="dxa"/>
            <w:vAlign w:val="center"/>
          </w:tcPr>
          <w:p w:rsidR="00DE740C" w:rsidRDefault="00A93524">
            <w:pPr>
              <w:jc w:val="center"/>
            </w:pPr>
            <w:r>
              <w:rPr>
                <w:rFonts w:eastAsiaTheme="minorEastAsia"/>
                <w:color w:val="000000" w:themeColor="text1"/>
                <w:szCs w:val="21"/>
              </w:rPr>
              <w:t>112017103</w:t>
            </w:r>
          </w:p>
        </w:tc>
        <w:tc>
          <w:tcPr>
            <w:tcW w:w="1504" w:type="dxa"/>
            <w:vAlign w:val="center"/>
          </w:tcPr>
          <w:p w:rsidR="00DE740C" w:rsidRDefault="00A93524">
            <w:pPr>
              <w:jc w:val="center"/>
            </w:pPr>
            <w:r>
              <w:rPr>
                <w:rFonts w:eastAsiaTheme="minorEastAsia"/>
                <w:color w:val="000000" w:themeColor="text1"/>
                <w:szCs w:val="21"/>
              </w:rPr>
              <w:t>20</w:t>
            </w:r>
            <w:r>
              <w:rPr>
                <w:rFonts w:eastAsiaTheme="minorEastAsia"/>
                <w:color w:val="000000" w:themeColor="text1"/>
                <w:szCs w:val="21"/>
              </w:rPr>
              <w:t>光大银行</w:t>
            </w:r>
            <w:r>
              <w:rPr>
                <w:rFonts w:eastAsiaTheme="minorEastAsia"/>
                <w:color w:val="000000" w:themeColor="text1"/>
                <w:szCs w:val="21"/>
              </w:rPr>
              <w:t>CD103</w:t>
            </w:r>
          </w:p>
        </w:tc>
        <w:tc>
          <w:tcPr>
            <w:tcW w:w="1503" w:type="dxa"/>
            <w:vAlign w:val="center"/>
          </w:tcPr>
          <w:p w:rsidR="00DE740C" w:rsidRDefault="00A93524">
            <w:pPr>
              <w:jc w:val="right"/>
            </w:pPr>
            <w:r>
              <w:rPr>
                <w:rFonts w:eastAsiaTheme="minorEastAsia"/>
                <w:color w:val="000000" w:themeColor="text1"/>
                <w:szCs w:val="21"/>
              </w:rPr>
              <w:t>1,000,000</w:t>
            </w:r>
          </w:p>
        </w:tc>
        <w:tc>
          <w:tcPr>
            <w:tcW w:w="1503" w:type="dxa"/>
            <w:vAlign w:val="center"/>
          </w:tcPr>
          <w:p w:rsidR="00DE740C" w:rsidRDefault="00A93524">
            <w:pPr>
              <w:jc w:val="right"/>
            </w:pPr>
            <w:r>
              <w:rPr>
                <w:rFonts w:eastAsiaTheme="minorEastAsia"/>
                <w:color w:val="000000" w:themeColor="text1"/>
                <w:szCs w:val="21"/>
              </w:rPr>
              <w:t>97,980,000.00</w:t>
            </w:r>
          </w:p>
        </w:tc>
        <w:tc>
          <w:tcPr>
            <w:tcW w:w="1503" w:type="dxa"/>
            <w:vAlign w:val="center"/>
          </w:tcPr>
          <w:p w:rsidR="00DE740C" w:rsidRDefault="00A93524">
            <w:pPr>
              <w:jc w:val="right"/>
            </w:pPr>
            <w:r>
              <w:rPr>
                <w:rFonts w:eastAsiaTheme="minorEastAsia"/>
                <w:color w:val="000000" w:themeColor="text1"/>
                <w:szCs w:val="21"/>
              </w:rPr>
              <w:t>6.25</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lastRenderedPageBreak/>
        <w:t xml:space="preserve">5.7 </w:t>
      </w:r>
      <w:r>
        <w:rPr>
          <w:rFonts w:eastAsiaTheme="minorEastAsia"/>
          <w:b/>
          <w:bCs/>
          <w:color w:val="000000" w:themeColor="text1"/>
          <w:kern w:val="0"/>
          <w:szCs w:val="21"/>
        </w:rPr>
        <w:t>报告期末按公允价值占基金资产净值比例大小排序的前五名贵金属投资明细</w:t>
      </w:r>
    </w:p>
    <w:p w:rsidR="005E6DF3" w:rsidRDefault="005C671B">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5E6DF3" w:rsidRDefault="005C671B">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Default="005C671B">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5E6DF3" w:rsidRDefault="005C671B">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tc>
          <w:tcPr>
            <w:tcW w:w="1110"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42,869.64</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36,067,886.58</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17,772,243.76</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5,219.26</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E6DF3">
        <w:tc>
          <w:tcPr>
            <w:tcW w:w="1110" w:type="dxa"/>
            <w:vAlign w:val="center"/>
          </w:tcPr>
          <w:p w:rsidR="005E6DF3" w:rsidRDefault="005C671B">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5E6DF3" w:rsidRDefault="005C671B">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5E6DF3" w:rsidRDefault="005C671B">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53,888,219.24</w:t>
            </w:r>
          </w:p>
        </w:tc>
      </w:tr>
    </w:tbl>
    <w:p w:rsidR="005E6DF3" w:rsidRDefault="005C671B">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5E6DF3" w:rsidRDefault="005C671B">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lastRenderedPageBreak/>
        <w:t>5.11.5</w:t>
      </w:r>
      <w:r>
        <w:rPr>
          <w:rFonts w:eastAsiaTheme="minorEastAsia"/>
          <w:b/>
          <w:bCs/>
          <w:color w:val="000000" w:themeColor="text1"/>
          <w:szCs w:val="21"/>
        </w:rPr>
        <w:t>报告期末前十名股票中存在流通受限情况的说明</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5E6DF3" w:rsidRDefault="005C671B">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5E6DF3"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上投摩根岁岁益定期开放债券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上投摩根岁岁益定期开放债券</w:t>
            </w:r>
            <w:r>
              <w:rPr>
                <w:rFonts w:eastAsiaTheme="minorEastAsia"/>
                <w:color w:val="000000" w:themeColor="text1"/>
                <w:szCs w:val="21"/>
              </w:rPr>
              <w:t>C</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1,421,684,854.36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152,837,153.62</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5,241.27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49,073.65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E6DF3">
        <w:tc>
          <w:tcPr>
            <w:tcW w:w="3900"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1,421,641,021.98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Default="005C671B">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152,837,153.62</w:t>
            </w:r>
          </w:p>
        </w:tc>
      </w:tr>
    </w:tbl>
    <w:p w:rsidR="005E6DF3"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5E6DF3" w:rsidRDefault="005C671B">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5E6DF3" w:rsidRDefault="005C671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5E6DF3" w:rsidRDefault="005C671B">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备查文件目录</w:t>
      </w:r>
    </w:p>
    <w:p w:rsidR="005E6DF3" w:rsidRDefault="005C671B">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8.1</w:t>
      </w:r>
      <w:r>
        <w:rPr>
          <w:rFonts w:eastAsiaTheme="minorEastAsia"/>
          <w:b/>
          <w:bCs/>
          <w:color w:val="000000" w:themeColor="text1"/>
          <w:kern w:val="0"/>
          <w:szCs w:val="21"/>
        </w:rPr>
        <w:t>备查文件目录</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中国证监会准予上投摩根岁岁益定期开放债券型证券投资基金募集注册的文件；</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《上投摩根岁岁益定期开放债券型证券投资基金基金合同》；</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《上投摩根岁岁益定期开放债券型证券投资基托管协议》；</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DE740C" w:rsidRDefault="00A9352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lastRenderedPageBreak/>
        <w:t>8.2</w:t>
      </w:r>
      <w:r>
        <w:rPr>
          <w:rFonts w:eastAsiaTheme="minorEastAsia"/>
          <w:b/>
          <w:bCs/>
          <w:color w:val="000000" w:themeColor="text1"/>
          <w:kern w:val="0"/>
          <w:szCs w:val="21"/>
        </w:rPr>
        <w:t>存放地点</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5E6DF3"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8.3</w:t>
      </w:r>
      <w:r>
        <w:rPr>
          <w:rFonts w:eastAsiaTheme="minorEastAsia"/>
          <w:b/>
          <w:bCs/>
          <w:color w:val="000000" w:themeColor="text1"/>
          <w:kern w:val="0"/>
          <w:szCs w:val="21"/>
        </w:rPr>
        <w:t>查阅方式</w:t>
      </w:r>
    </w:p>
    <w:p w:rsidR="005E6DF3" w:rsidRDefault="005C671B">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5E6DF3" w:rsidRDefault="005E6DF3">
      <w:pPr>
        <w:spacing w:line="360" w:lineRule="auto"/>
        <w:ind w:left="840"/>
        <w:jc w:val="right"/>
        <w:rPr>
          <w:rFonts w:eastAsiaTheme="minorEastAsia"/>
          <w:color w:val="000000" w:themeColor="text1"/>
          <w:szCs w:val="21"/>
        </w:rPr>
      </w:pPr>
    </w:p>
    <w:p w:rsidR="005E6DF3" w:rsidRDefault="005E6DF3">
      <w:pPr>
        <w:spacing w:line="360" w:lineRule="auto"/>
        <w:ind w:left="840"/>
        <w:jc w:val="center"/>
        <w:rPr>
          <w:rFonts w:eastAsiaTheme="minorEastAsia"/>
          <w:b/>
          <w:color w:val="000000" w:themeColor="text1"/>
          <w:szCs w:val="21"/>
        </w:rPr>
      </w:pP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5E6DF3" w:rsidRDefault="005C671B">
      <w:pPr>
        <w:spacing w:line="360" w:lineRule="auto"/>
        <w:jc w:val="right"/>
        <w:rPr>
          <w:rFonts w:eastAsiaTheme="minorEastAsia"/>
          <w:b/>
          <w:bCs/>
          <w:color w:val="000000" w:themeColor="text1"/>
          <w:szCs w:val="21"/>
        </w:rPr>
      </w:pPr>
      <w:r>
        <w:rPr>
          <w:rFonts w:eastAsiaTheme="minorEastAsia"/>
          <w:b/>
          <w:bCs/>
          <w:color w:val="000000" w:themeColor="text1"/>
          <w:szCs w:val="21"/>
        </w:rPr>
        <w:t>二〇二一年四月二十二日</w:t>
      </w:r>
    </w:p>
    <w:sectPr w:rsidR="005E6DF3">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74" w:rsidRDefault="005E4F74">
      <w:r>
        <w:separator/>
      </w:r>
    </w:p>
  </w:endnote>
  <w:endnote w:type="continuationSeparator" w:id="0">
    <w:p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F3BF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F3BF6">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F3BF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74" w:rsidRDefault="005E4F74">
      <w:r>
        <w:separator/>
      </w:r>
    </w:p>
  </w:footnote>
  <w:footnote w:type="continuationSeparator" w:id="0">
    <w:p w:rsidR="005E4F74" w:rsidRDefault="005E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上投摩根岁岁益定期开放债券型证券投资基金</w:t>
    </w:r>
    <w:r>
      <w:t>2021</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3524"/>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3BF6"/>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40C"/>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680CF-90BB-41CB-9055-8D88EECB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15</Pages>
  <Words>1279</Words>
  <Characters>7292</Characters>
  <Application>Microsoft Office Word</Application>
  <DocSecurity>0</DocSecurity>
  <Lines>60</Lines>
  <Paragraphs>17</Paragraphs>
  <ScaleCrop>false</ScaleCrop>
  <Company>TRT. Ltd. Co.</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Chen,Richard</cp:lastModifiedBy>
  <cp:revision>218</cp:revision>
  <cp:lastPrinted>2007-07-19T00:46:00Z</cp:lastPrinted>
  <dcterms:created xsi:type="dcterms:W3CDTF">2013-06-21T06:56:00Z</dcterms:created>
  <dcterms:modified xsi:type="dcterms:W3CDTF">2021-04-21T03:12:00Z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