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上投摩根优选多因子股票型证券投资基金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报告送出日期：二〇二二年十月二十六日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25</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上投摩根优选多因子股票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004606</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004606</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8</w:t>
            </w:r>
            <w:r w:rsidRPr="00FF6B9A">
              <w:rPr>
                <w:rFonts w:eastAsiaTheme="minorEastAsia"/>
                <w:color w:val="000000" w:themeColor="text1"/>
                <w:kern w:val="0"/>
              </w:rPr>
              <w:t>月</w:t>
            </w:r>
            <w:r w:rsidRPr="00FF6B9A">
              <w:rPr>
                <w:rFonts w:eastAsiaTheme="minorEastAsia"/>
                <w:color w:val="000000" w:themeColor="text1"/>
                <w:kern w:val="0"/>
              </w:rPr>
              <w:t>23</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8,138,411.46</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在严格控制风险的基础上，采用量化投资对基金资产进行积极管理，力争获取超越业绩基准的投资收益。</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FF5BC3" w:rsidRDefault="00785DC3">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本基金采用多因子模型进行个股选择，并结合适当的资产配置策略搭建基金投资组合。</w:t>
            </w:r>
          </w:p>
          <w:p w:rsidR="00FF5BC3" w:rsidRDefault="00785DC3">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FF5BC3" w:rsidRDefault="00785DC3">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FF5BC3" w:rsidRDefault="00785DC3">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FF5BC3" w:rsidRDefault="00785DC3">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基金管理人量化投资团队开发的多因子选股模型为基础，深入分析个股的估值水平、盈利指标、波动指标、运营指标、市场情绪面等指标，结合适当的资产配置策略搭建基金投资组合并根据行情变化进行动态调整，力争股票配置最优化，以期</w:t>
            </w:r>
            <w:r>
              <w:rPr>
                <w:rFonts w:eastAsiaTheme="minorEastAsia"/>
                <w:color w:val="000000" w:themeColor="text1"/>
                <w:kern w:val="0"/>
              </w:rPr>
              <w:t>持续超越业绩比较基准收益率的投资目标。</w:t>
            </w:r>
          </w:p>
          <w:p w:rsidR="00FF5BC3" w:rsidRDefault="00785DC3">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、债券投资策略</w:t>
            </w:r>
          </w:p>
          <w:p w:rsidR="00FF5BC3" w:rsidRDefault="00785DC3">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、其他投资策略：包括股指期货投资策略、资产支持证券投资策略、股票期权投资策略、存托凭证投资策略。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FF5BC3" w:rsidRDefault="00785DC3">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85DC3" w:rsidRPr="00FF6B9A" w:rsidTr="00785DC3">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785DC3" w:rsidRPr="00FF6B9A" w:rsidTr="00785DC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605,103.00</w:t>
            </w:r>
          </w:p>
        </w:tc>
      </w:tr>
      <w:tr w:rsidR="00785DC3" w:rsidRPr="00FF6B9A" w:rsidTr="00785DC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-1,788,175.29</w:t>
            </w:r>
          </w:p>
        </w:tc>
      </w:tr>
      <w:tr w:rsidR="00785DC3" w:rsidRPr="00FF6B9A" w:rsidTr="00785DC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-0.2178</w:t>
            </w:r>
          </w:p>
        </w:tc>
      </w:tr>
      <w:tr w:rsidR="00785DC3" w:rsidRPr="00FF6B9A" w:rsidTr="00785DC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8,492,494.07</w:t>
            </w:r>
          </w:p>
        </w:tc>
      </w:tr>
      <w:tr w:rsidR="00785DC3" w:rsidRPr="00FF6B9A" w:rsidTr="00785DC3">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1.0435</w:t>
            </w:r>
          </w:p>
        </w:tc>
      </w:tr>
    </w:tbl>
    <w:p w:rsidR="00FF5BC3" w:rsidRDefault="00785DC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FF5BC3">
        <w:tc>
          <w:tcPr>
            <w:tcW w:w="1395" w:type="dxa"/>
            <w:vAlign w:val="center"/>
          </w:tcPr>
          <w:p w:rsidR="00FF5BC3" w:rsidRDefault="00785DC3">
            <w:pPr>
              <w:jc w:val="left"/>
            </w:pPr>
            <w:r>
              <w:rPr>
                <w:rFonts w:eastAsiaTheme="minorEastAsia"/>
                <w:color w:val="000000" w:themeColor="text1"/>
                <w:kern w:val="0"/>
              </w:rPr>
              <w:t>过去三个月</w:t>
            </w:r>
          </w:p>
        </w:tc>
        <w:tc>
          <w:tcPr>
            <w:tcW w:w="1092" w:type="dxa"/>
            <w:vAlign w:val="center"/>
          </w:tcPr>
          <w:p w:rsidR="00FF5BC3" w:rsidRDefault="00785DC3">
            <w:pPr>
              <w:jc w:val="center"/>
            </w:pPr>
            <w:r>
              <w:rPr>
                <w:rFonts w:eastAsiaTheme="minorEastAsia"/>
                <w:color w:val="000000" w:themeColor="text1"/>
                <w:kern w:val="0"/>
              </w:rPr>
              <w:t>-17.29%</w:t>
            </w:r>
          </w:p>
        </w:tc>
        <w:tc>
          <w:tcPr>
            <w:tcW w:w="1161" w:type="dxa"/>
            <w:vAlign w:val="center"/>
          </w:tcPr>
          <w:p w:rsidR="00FF5BC3" w:rsidRDefault="00785DC3">
            <w:pPr>
              <w:jc w:val="center"/>
            </w:pPr>
            <w:r>
              <w:rPr>
                <w:rFonts w:eastAsiaTheme="minorEastAsia"/>
                <w:color w:val="000000" w:themeColor="text1"/>
                <w:kern w:val="0"/>
              </w:rPr>
              <w:t>1.15%</w:t>
            </w:r>
          </w:p>
        </w:tc>
        <w:tc>
          <w:tcPr>
            <w:tcW w:w="1181" w:type="dxa"/>
            <w:vAlign w:val="center"/>
          </w:tcPr>
          <w:p w:rsidR="00FF5BC3" w:rsidRDefault="00785DC3">
            <w:pPr>
              <w:jc w:val="center"/>
            </w:pPr>
            <w:r>
              <w:rPr>
                <w:rFonts w:eastAsiaTheme="minorEastAsia"/>
                <w:color w:val="000000" w:themeColor="text1"/>
                <w:kern w:val="0"/>
              </w:rPr>
              <w:t>-12.01%</w:t>
            </w:r>
          </w:p>
        </w:tc>
        <w:tc>
          <w:tcPr>
            <w:tcW w:w="1188" w:type="dxa"/>
            <w:vAlign w:val="center"/>
          </w:tcPr>
          <w:p w:rsidR="00FF5BC3" w:rsidRDefault="00785DC3">
            <w:pPr>
              <w:jc w:val="center"/>
            </w:pPr>
            <w:r>
              <w:rPr>
                <w:rFonts w:eastAsiaTheme="minorEastAsia"/>
                <w:color w:val="000000" w:themeColor="text1"/>
                <w:kern w:val="0"/>
              </w:rPr>
              <w:t>0.78%</w:t>
            </w:r>
          </w:p>
        </w:tc>
        <w:tc>
          <w:tcPr>
            <w:tcW w:w="1199" w:type="dxa"/>
            <w:vAlign w:val="center"/>
          </w:tcPr>
          <w:p w:rsidR="00FF5BC3" w:rsidRDefault="00785DC3">
            <w:pPr>
              <w:jc w:val="center"/>
            </w:pPr>
            <w:r>
              <w:rPr>
                <w:rFonts w:eastAsiaTheme="minorEastAsia"/>
                <w:color w:val="000000" w:themeColor="text1"/>
                <w:kern w:val="0"/>
              </w:rPr>
              <w:t>-5.28%</w:t>
            </w:r>
          </w:p>
        </w:tc>
        <w:tc>
          <w:tcPr>
            <w:tcW w:w="1204" w:type="dxa"/>
            <w:vAlign w:val="center"/>
          </w:tcPr>
          <w:p w:rsidR="00FF5BC3" w:rsidRDefault="00785DC3">
            <w:pPr>
              <w:jc w:val="center"/>
            </w:pPr>
            <w:r>
              <w:rPr>
                <w:rFonts w:eastAsiaTheme="minorEastAsia"/>
                <w:color w:val="000000" w:themeColor="text1"/>
                <w:kern w:val="0"/>
              </w:rPr>
              <w:t>0.37%</w:t>
            </w:r>
          </w:p>
        </w:tc>
      </w:tr>
      <w:tr w:rsidR="00FF5BC3">
        <w:tc>
          <w:tcPr>
            <w:tcW w:w="1395" w:type="dxa"/>
            <w:vAlign w:val="center"/>
          </w:tcPr>
          <w:p w:rsidR="00FF5BC3" w:rsidRDefault="00785DC3">
            <w:pPr>
              <w:jc w:val="left"/>
            </w:pPr>
            <w:r>
              <w:rPr>
                <w:rFonts w:eastAsiaTheme="minorEastAsia"/>
                <w:color w:val="000000" w:themeColor="text1"/>
                <w:kern w:val="0"/>
              </w:rPr>
              <w:t>过去六个月</w:t>
            </w:r>
          </w:p>
        </w:tc>
        <w:tc>
          <w:tcPr>
            <w:tcW w:w="1092" w:type="dxa"/>
            <w:vAlign w:val="center"/>
          </w:tcPr>
          <w:p w:rsidR="00FF5BC3" w:rsidRDefault="00785DC3">
            <w:pPr>
              <w:jc w:val="center"/>
            </w:pPr>
            <w:r>
              <w:rPr>
                <w:rFonts w:eastAsiaTheme="minorEastAsia"/>
                <w:color w:val="000000" w:themeColor="text1"/>
                <w:kern w:val="0"/>
              </w:rPr>
              <w:t>-12.24%</w:t>
            </w:r>
          </w:p>
        </w:tc>
        <w:tc>
          <w:tcPr>
            <w:tcW w:w="1161" w:type="dxa"/>
            <w:vAlign w:val="center"/>
          </w:tcPr>
          <w:p w:rsidR="00FF5BC3" w:rsidRDefault="00785DC3">
            <w:pPr>
              <w:jc w:val="center"/>
            </w:pPr>
            <w:r>
              <w:rPr>
                <w:rFonts w:eastAsiaTheme="minorEastAsia"/>
                <w:color w:val="000000" w:themeColor="text1"/>
                <w:kern w:val="0"/>
              </w:rPr>
              <w:t>1.44%</w:t>
            </w:r>
          </w:p>
        </w:tc>
        <w:tc>
          <w:tcPr>
            <w:tcW w:w="1181" w:type="dxa"/>
            <w:vAlign w:val="center"/>
          </w:tcPr>
          <w:p w:rsidR="00FF5BC3" w:rsidRDefault="00785DC3">
            <w:pPr>
              <w:jc w:val="center"/>
            </w:pPr>
            <w:r>
              <w:rPr>
                <w:rFonts w:eastAsiaTheme="minorEastAsia"/>
                <w:color w:val="000000" w:themeColor="text1"/>
                <w:kern w:val="0"/>
              </w:rPr>
              <w:t>-8.22%</w:t>
            </w:r>
          </w:p>
        </w:tc>
        <w:tc>
          <w:tcPr>
            <w:tcW w:w="1188" w:type="dxa"/>
            <w:vAlign w:val="center"/>
          </w:tcPr>
          <w:p w:rsidR="00FF5BC3" w:rsidRDefault="00785DC3">
            <w:pPr>
              <w:jc w:val="center"/>
            </w:pPr>
            <w:r>
              <w:rPr>
                <w:rFonts w:eastAsiaTheme="minorEastAsia"/>
                <w:color w:val="000000" w:themeColor="text1"/>
                <w:kern w:val="0"/>
              </w:rPr>
              <w:t>1.04%</w:t>
            </w:r>
          </w:p>
        </w:tc>
        <w:tc>
          <w:tcPr>
            <w:tcW w:w="1199" w:type="dxa"/>
            <w:vAlign w:val="center"/>
          </w:tcPr>
          <w:p w:rsidR="00FF5BC3" w:rsidRDefault="00785DC3">
            <w:pPr>
              <w:jc w:val="center"/>
            </w:pPr>
            <w:r>
              <w:rPr>
                <w:rFonts w:eastAsiaTheme="minorEastAsia"/>
                <w:color w:val="000000" w:themeColor="text1"/>
                <w:kern w:val="0"/>
              </w:rPr>
              <w:t>-4.02%</w:t>
            </w:r>
          </w:p>
        </w:tc>
        <w:tc>
          <w:tcPr>
            <w:tcW w:w="1204" w:type="dxa"/>
            <w:vAlign w:val="center"/>
          </w:tcPr>
          <w:p w:rsidR="00FF5BC3" w:rsidRDefault="00785DC3">
            <w:pPr>
              <w:jc w:val="center"/>
            </w:pPr>
            <w:r>
              <w:rPr>
                <w:rFonts w:eastAsiaTheme="minorEastAsia"/>
                <w:color w:val="000000" w:themeColor="text1"/>
                <w:kern w:val="0"/>
              </w:rPr>
              <w:t>0.40%</w:t>
            </w:r>
          </w:p>
        </w:tc>
      </w:tr>
      <w:tr w:rsidR="00FF5BC3">
        <w:tc>
          <w:tcPr>
            <w:tcW w:w="1395" w:type="dxa"/>
            <w:vAlign w:val="center"/>
          </w:tcPr>
          <w:p w:rsidR="00FF5BC3" w:rsidRDefault="00785DC3">
            <w:pPr>
              <w:jc w:val="left"/>
            </w:pPr>
            <w:r>
              <w:rPr>
                <w:rFonts w:eastAsiaTheme="minorEastAsia"/>
                <w:color w:val="000000" w:themeColor="text1"/>
                <w:kern w:val="0"/>
              </w:rPr>
              <w:t>过去一年</w:t>
            </w:r>
          </w:p>
        </w:tc>
        <w:tc>
          <w:tcPr>
            <w:tcW w:w="1092" w:type="dxa"/>
            <w:vAlign w:val="center"/>
          </w:tcPr>
          <w:p w:rsidR="00FF5BC3" w:rsidRDefault="00785DC3">
            <w:pPr>
              <w:jc w:val="center"/>
            </w:pPr>
            <w:r>
              <w:rPr>
                <w:rFonts w:eastAsiaTheme="minorEastAsia"/>
                <w:color w:val="000000" w:themeColor="text1"/>
                <w:kern w:val="0"/>
              </w:rPr>
              <w:t>-29.25%</w:t>
            </w:r>
          </w:p>
        </w:tc>
        <w:tc>
          <w:tcPr>
            <w:tcW w:w="1161" w:type="dxa"/>
            <w:vAlign w:val="center"/>
          </w:tcPr>
          <w:p w:rsidR="00FF5BC3" w:rsidRDefault="00785DC3">
            <w:pPr>
              <w:jc w:val="center"/>
            </w:pPr>
            <w:r>
              <w:rPr>
                <w:rFonts w:eastAsiaTheme="minorEastAsia"/>
                <w:color w:val="000000" w:themeColor="text1"/>
                <w:kern w:val="0"/>
              </w:rPr>
              <w:t>1.43%</w:t>
            </w:r>
          </w:p>
        </w:tc>
        <w:tc>
          <w:tcPr>
            <w:tcW w:w="1181" w:type="dxa"/>
            <w:vAlign w:val="center"/>
          </w:tcPr>
          <w:p w:rsidR="00FF5BC3" w:rsidRDefault="00785DC3">
            <w:pPr>
              <w:jc w:val="center"/>
            </w:pPr>
            <w:r>
              <w:rPr>
                <w:rFonts w:eastAsiaTheme="minorEastAsia"/>
                <w:color w:val="000000" w:themeColor="text1"/>
                <w:kern w:val="0"/>
              </w:rPr>
              <w:t>-17.88%</w:t>
            </w:r>
          </w:p>
        </w:tc>
        <w:tc>
          <w:tcPr>
            <w:tcW w:w="1188" w:type="dxa"/>
            <w:vAlign w:val="center"/>
          </w:tcPr>
          <w:p w:rsidR="00FF5BC3" w:rsidRDefault="00785DC3">
            <w:pPr>
              <w:jc w:val="center"/>
            </w:pPr>
            <w:r>
              <w:rPr>
                <w:rFonts w:eastAsiaTheme="minorEastAsia"/>
                <w:color w:val="000000" w:themeColor="text1"/>
                <w:kern w:val="0"/>
              </w:rPr>
              <w:t>1.00%</w:t>
            </w:r>
          </w:p>
        </w:tc>
        <w:tc>
          <w:tcPr>
            <w:tcW w:w="1199" w:type="dxa"/>
            <w:vAlign w:val="center"/>
          </w:tcPr>
          <w:p w:rsidR="00FF5BC3" w:rsidRDefault="00785DC3">
            <w:pPr>
              <w:jc w:val="center"/>
            </w:pPr>
            <w:r>
              <w:rPr>
                <w:rFonts w:eastAsiaTheme="minorEastAsia"/>
                <w:color w:val="000000" w:themeColor="text1"/>
                <w:kern w:val="0"/>
              </w:rPr>
              <w:t>-11.37%</w:t>
            </w:r>
          </w:p>
        </w:tc>
        <w:tc>
          <w:tcPr>
            <w:tcW w:w="1204" w:type="dxa"/>
            <w:vAlign w:val="center"/>
          </w:tcPr>
          <w:p w:rsidR="00FF5BC3" w:rsidRDefault="00785DC3">
            <w:pPr>
              <w:jc w:val="center"/>
            </w:pPr>
            <w:r>
              <w:rPr>
                <w:rFonts w:eastAsiaTheme="minorEastAsia"/>
                <w:color w:val="000000" w:themeColor="text1"/>
                <w:kern w:val="0"/>
              </w:rPr>
              <w:t>0.43%</w:t>
            </w:r>
          </w:p>
        </w:tc>
      </w:tr>
      <w:tr w:rsidR="00FF5BC3">
        <w:tc>
          <w:tcPr>
            <w:tcW w:w="1395" w:type="dxa"/>
            <w:vAlign w:val="center"/>
          </w:tcPr>
          <w:p w:rsidR="00FF5BC3" w:rsidRDefault="00785DC3">
            <w:pPr>
              <w:jc w:val="left"/>
            </w:pPr>
            <w:r>
              <w:rPr>
                <w:rFonts w:eastAsiaTheme="minorEastAsia"/>
                <w:color w:val="000000" w:themeColor="text1"/>
                <w:kern w:val="0"/>
              </w:rPr>
              <w:t>过去三年</w:t>
            </w:r>
          </w:p>
        </w:tc>
        <w:tc>
          <w:tcPr>
            <w:tcW w:w="1092" w:type="dxa"/>
            <w:vAlign w:val="center"/>
          </w:tcPr>
          <w:p w:rsidR="00FF5BC3" w:rsidRDefault="00785DC3">
            <w:pPr>
              <w:jc w:val="center"/>
            </w:pPr>
            <w:r>
              <w:rPr>
                <w:rFonts w:eastAsiaTheme="minorEastAsia"/>
                <w:color w:val="000000" w:themeColor="text1"/>
                <w:kern w:val="0"/>
              </w:rPr>
              <w:t>-4.03%</w:t>
            </w:r>
          </w:p>
        </w:tc>
        <w:tc>
          <w:tcPr>
            <w:tcW w:w="1161" w:type="dxa"/>
            <w:vAlign w:val="center"/>
          </w:tcPr>
          <w:p w:rsidR="00FF5BC3" w:rsidRDefault="00785DC3">
            <w:pPr>
              <w:jc w:val="center"/>
            </w:pPr>
            <w:r>
              <w:rPr>
                <w:rFonts w:eastAsiaTheme="minorEastAsia"/>
                <w:color w:val="000000" w:themeColor="text1"/>
                <w:kern w:val="0"/>
              </w:rPr>
              <w:t>1.31%</w:t>
            </w:r>
          </w:p>
        </w:tc>
        <w:tc>
          <w:tcPr>
            <w:tcW w:w="1181" w:type="dxa"/>
            <w:vAlign w:val="center"/>
          </w:tcPr>
          <w:p w:rsidR="00FF5BC3" w:rsidRDefault="00785DC3">
            <w:pPr>
              <w:jc w:val="center"/>
            </w:pPr>
            <w:r>
              <w:rPr>
                <w:rFonts w:eastAsiaTheme="minorEastAsia"/>
                <w:color w:val="000000" w:themeColor="text1"/>
                <w:kern w:val="0"/>
              </w:rPr>
              <w:t>3.33%</w:t>
            </w:r>
          </w:p>
        </w:tc>
        <w:tc>
          <w:tcPr>
            <w:tcW w:w="1188" w:type="dxa"/>
            <w:vAlign w:val="center"/>
          </w:tcPr>
          <w:p w:rsidR="00FF5BC3" w:rsidRDefault="00785DC3">
            <w:pPr>
              <w:jc w:val="center"/>
            </w:pPr>
            <w:r>
              <w:rPr>
                <w:rFonts w:eastAsiaTheme="minorEastAsia"/>
                <w:color w:val="000000" w:themeColor="text1"/>
                <w:kern w:val="0"/>
              </w:rPr>
              <w:t>1.06%</w:t>
            </w:r>
          </w:p>
        </w:tc>
        <w:tc>
          <w:tcPr>
            <w:tcW w:w="1199" w:type="dxa"/>
            <w:vAlign w:val="center"/>
          </w:tcPr>
          <w:p w:rsidR="00FF5BC3" w:rsidRDefault="00785DC3">
            <w:pPr>
              <w:jc w:val="center"/>
            </w:pPr>
            <w:r>
              <w:rPr>
                <w:rFonts w:eastAsiaTheme="minorEastAsia"/>
                <w:color w:val="000000" w:themeColor="text1"/>
                <w:kern w:val="0"/>
              </w:rPr>
              <w:t>-7.36%</w:t>
            </w:r>
          </w:p>
        </w:tc>
        <w:tc>
          <w:tcPr>
            <w:tcW w:w="1204" w:type="dxa"/>
            <w:vAlign w:val="center"/>
          </w:tcPr>
          <w:p w:rsidR="00FF5BC3" w:rsidRDefault="00785DC3">
            <w:pPr>
              <w:jc w:val="center"/>
            </w:pPr>
            <w:r>
              <w:rPr>
                <w:rFonts w:eastAsiaTheme="minorEastAsia"/>
                <w:color w:val="000000" w:themeColor="text1"/>
                <w:kern w:val="0"/>
              </w:rPr>
              <w:t>0.25%</w:t>
            </w:r>
          </w:p>
        </w:tc>
      </w:tr>
      <w:tr w:rsidR="00FF5BC3">
        <w:tc>
          <w:tcPr>
            <w:tcW w:w="1395" w:type="dxa"/>
            <w:vAlign w:val="center"/>
          </w:tcPr>
          <w:p w:rsidR="00FF5BC3" w:rsidRDefault="00785DC3">
            <w:pPr>
              <w:jc w:val="left"/>
            </w:pPr>
            <w:r>
              <w:rPr>
                <w:rFonts w:eastAsiaTheme="minorEastAsia"/>
                <w:color w:val="000000" w:themeColor="text1"/>
                <w:kern w:val="0"/>
              </w:rPr>
              <w:t>过去五年</w:t>
            </w:r>
          </w:p>
        </w:tc>
        <w:tc>
          <w:tcPr>
            <w:tcW w:w="1092" w:type="dxa"/>
            <w:vAlign w:val="center"/>
          </w:tcPr>
          <w:p w:rsidR="00FF5BC3" w:rsidRDefault="00785DC3">
            <w:pPr>
              <w:jc w:val="center"/>
            </w:pPr>
            <w:r>
              <w:rPr>
                <w:rFonts w:eastAsiaTheme="minorEastAsia"/>
                <w:color w:val="000000" w:themeColor="text1"/>
                <w:kern w:val="0"/>
              </w:rPr>
              <w:t>2.18%</w:t>
            </w:r>
          </w:p>
        </w:tc>
        <w:tc>
          <w:tcPr>
            <w:tcW w:w="1161" w:type="dxa"/>
            <w:vAlign w:val="center"/>
          </w:tcPr>
          <w:p w:rsidR="00FF5BC3" w:rsidRDefault="00785DC3">
            <w:pPr>
              <w:jc w:val="center"/>
            </w:pPr>
            <w:r>
              <w:rPr>
                <w:rFonts w:eastAsiaTheme="minorEastAsia"/>
                <w:color w:val="000000" w:themeColor="text1"/>
                <w:kern w:val="0"/>
              </w:rPr>
              <w:t>1.31%</w:t>
            </w:r>
          </w:p>
        </w:tc>
        <w:tc>
          <w:tcPr>
            <w:tcW w:w="1181" w:type="dxa"/>
            <w:vAlign w:val="center"/>
          </w:tcPr>
          <w:p w:rsidR="00FF5BC3" w:rsidRDefault="00785DC3">
            <w:pPr>
              <w:jc w:val="center"/>
            </w:pPr>
            <w:r>
              <w:rPr>
                <w:rFonts w:eastAsiaTheme="minorEastAsia"/>
                <w:color w:val="000000" w:themeColor="text1"/>
                <w:kern w:val="0"/>
              </w:rPr>
              <w:t>-2.50%</w:t>
            </w:r>
          </w:p>
        </w:tc>
        <w:tc>
          <w:tcPr>
            <w:tcW w:w="1188" w:type="dxa"/>
            <w:vAlign w:val="center"/>
          </w:tcPr>
          <w:p w:rsidR="00FF5BC3" w:rsidRDefault="00785DC3">
            <w:pPr>
              <w:jc w:val="center"/>
            </w:pPr>
            <w:r>
              <w:rPr>
                <w:rFonts w:eastAsiaTheme="minorEastAsia"/>
                <w:color w:val="000000" w:themeColor="text1"/>
                <w:kern w:val="0"/>
              </w:rPr>
              <w:t>1.08%</w:t>
            </w:r>
          </w:p>
        </w:tc>
        <w:tc>
          <w:tcPr>
            <w:tcW w:w="1199" w:type="dxa"/>
            <w:vAlign w:val="center"/>
          </w:tcPr>
          <w:p w:rsidR="00FF5BC3" w:rsidRDefault="00785DC3">
            <w:pPr>
              <w:jc w:val="center"/>
            </w:pPr>
            <w:r>
              <w:rPr>
                <w:rFonts w:eastAsiaTheme="minorEastAsia"/>
                <w:color w:val="000000" w:themeColor="text1"/>
                <w:kern w:val="0"/>
              </w:rPr>
              <w:t>4.68%</w:t>
            </w:r>
          </w:p>
        </w:tc>
        <w:tc>
          <w:tcPr>
            <w:tcW w:w="1204" w:type="dxa"/>
            <w:vAlign w:val="center"/>
          </w:tcPr>
          <w:p w:rsidR="00FF5BC3" w:rsidRDefault="00785DC3">
            <w:pPr>
              <w:jc w:val="center"/>
            </w:pPr>
            <w:r>
              <w:rPr>
                <w:rFonts w:eastAsiaTheme="minorEastAsia"/>
                <w:color w:val="000000" w:themeColor="text1"/>
                <w:kern w:val="0"/>
              </w:rPr>
              <w:t>0.23%</w:t>
            </w:r>
          </w:p>
        </w:tc>
      </w:tr>
      <w:tr w:rsidR="00FF5BC3">
        <w:tc>
          <w:tcPr>
            <w:tcW w:w="1395" w:type="dxa"/>
            <w:vAlign w:val="center"/>
          </w:tcPr>
          <w:p w:rsidR="00FF5BC3" w:rsidRDefault="00785DC3">
            <w:pPr>
              <w:jc w:val="left"/>
            </w:pPr>
            <w:r>
              <w:rPr>
                <w:rFonts w:eastAsiaTheme="minorEastAsia"/>
                <w:color w:val="000000" w:themeColor="text1"/>
                <w:kern w:val="0"/>
              </w:rPr>
              <w:t>自基金合同生效起至今</w:t>
            </w:r>
          </w:p>
        </w:tc>
        <w:tc>
          <w:tcPr>
            <w:tcW w:w="1092" w:type="dxa"/>
            <w:vAlign w:val="center"/>
          </w:tcPr>
          <w:p w:rsidR="00FF5BC3" w:rsidRDefault="00785DC3">
            <w:pPr>
              <w:jc w:val="center"/>
            </w:pPr>
            <w:r>
              <w:rPr>
                <w:rFonts w:eastAsiaTheme="minorEastAsia"/>
                <w:color w:val="000000" w:themeColor="text1"/>
                <w:kern w:val="0"/>
              </w:rPr>
              <w:t>4.35%</w:t>
            </w:r>
          </w:p>
        </w:tc>
        <w:tc>
          <w:tcPr>
            <w:tcW w:w="1161" w:type="dxa"/>
            <w:vAlign w:val="center"/>
          </w:tcPr>
          <w:p w:rsidR="00FF5BC3" w:rsidRDefault="00785DC3">
            <w:pPr>
              <w:jc w:val="center"/>
            </w:pPr>
            <w:r>
              <w:rPr>
                <w:rFonts w:eastAsiaTheme="minorEastAsia"/>
                <w:color w:val="000000" w:themeColor="text1"/>
                <w:kern w:val="0"/>
              </w:rPr>
              <w:t>1.29%</w:t>
            </w:r>
          </w:p>
        </w:tc>
        <w:tc>
          <w:tcPr>
            <w:tcW w:w="1181" w:type="dxa"/>
            <w:vAlign w:val="center"/>
          </w:tcPr>
          <w:p w:rsidR="00FF5BC3" w:rsidRDefault="00785DC3">
            <w:pPr>
              <w:jc w:val="center"/>
            </w:pPr>
            <w:r>
              <w:rPr>
                <w:rFonts w:eastAsiaTheme="minorEastAsia"/>
                <w:color w:val="000000" w:themeColor="text1"/>
                <w:kern w:val="0"/>
              </w:rPr>
              <w:t>-0.38%</w:t>
            </w:r>
          </w:p>
        </w:tc>
        <w:tc>
          <w:tcPr>
            <w:tcW w:w="1188" w:type="dxa"/>
            <w:vAlign w:val="center"/>
          </w:tcPr>
          <w:p w:rsidR="00FF5BC3" w:rsidRDefault="00785DC3">
            <w:pPr>
              <w:jc w:val="center"/>
            </w:pPr>
            <w:r>
              <w:rPr>
                <w:rFonts w:eastAsiaTheme="minorEastAsia"/>
                <w:color w:val="000000" w:themeColor="text1"/>
                <w:kern w:val="0"/>
              </w:rPr>
              <w:t>1.07%</w:t>
            </w:r>
          </w:p>
        </w:tc>
        <w:tc>
          <w:tcPr>
            <w:tcW w:w="1199" w:type="dxa"/>
            <w:vAlign w:val="center"/>
          </w:tcPr>
          <w:p w:rsidR="00FF5BC3" w:rsidRDefault="00785DC3">
            <w:pPr>
              <w:jc w:val="center"/>
            </w:pPr>
            <w:r>
              <w:rPr>
                <w:rFonts w:eastAsiaTheme="minorEastAsia"/>
                <w:color w:val="000000" w:themeColor="text1"/>
                <w:kern w:val="0"/>
              </w:rPr>
              <w:t>4.73%</w:t>
            </w:r>
          </w:p>
        </w:tc>
        <w:tc>
          <w:tcPr>
            <w:tcW w:w="1204" w:type="dxa"/>
            <w:vAlign w:val="center"/>
          </w:tcPr>
          <w:p w:rsidR="00FF5BC3" w:rsidRDefault="00785DC3">
            <w:pPr>
              <w:jc w:val="center"/>
            </w:pPr>
            <w:r>
              <w:rPr>
                <w:rFonts w:eastAsiaTheme="minorEastAsia"/>
                <w:color w:val="000000" w:themeColor="text1"/>
                <w:kern w:val="0"/>
              </w:rPr>
              <w:t>0.22%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上投摩根优选多因子股票型证券投资基金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(2017</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8</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23</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FF5BC3" w:rsidRDefault="00785DC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w:t>
      </w:r>
      <w:r>
        <w:rPr>
          <w:rFonts w:eastAsiaTheme="minorEastAsia"/>
          <w:color w:val="000000" w:themeColor="text1"/>
        </w:rPr>
        <w:t>23</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FF5BC3">
        <w:tc>
          <w:tcPr>
            <w:tcW w:w="851" w:type="dxa"/>
            <w:vAlign w:val="center"/>
          </w:tcPr>
          <w:p w:rsidR="00FF5BC3" w:rsidRDefault="00785DC3">
            <w:pPr>
              <w:jc w:val="center"/>
            </w:pPr>
            <w:r>
              <w:rPr>
                <w:rFonts w:eastAsiaTheme="minorEastAsia"/>
                <w:color w:val="000000" w:themeColor="text1"/>
              </w:rPr>
              <w:t>毛时超</w:t>
            </w:r>
          </w:p>
        </w:tc>
        <w:tc>
          <w:tcPr>
            <w:tcW w:w="850" w:type="dxa"/>
            <w:vAlign w:val="center"/>
          </w:tcPr>
          <w:p w:rsidR="00FF5BC3" w:rsidRDefault="00785DC3">
            <w:pPr>
              <w:jc w:val="center"/>
            </w:pPr>
            <w:r>
              <w:rPr>
                <w:rFonts w:eastAsiaTheme="minorEastAsia"/>
                <w:color w:val="000000" w:themeColor="text1"/>
              </w:rPr>
              <w:t>本基金基金经理</w:t>
            </w:r>
          </w:p>
        </w:tc>
        <w:tc>
          <w:tcPr>
            <w:tcW w:w="1560" w:type="dxa"/>
            <w:vAlign w:val="center"/>
          </w:tcPr>
          <w:p w:rsidR="00FF5BC3" w:rsidRDefault="00785DC3">
            <w:pPr>
              <w:jc w:val="center"/>
            </w:pPr>
            <w:r>
              <w:rPr>
                <w:rFonts w:eastAsiaTheme="minorEastAsia"/>
                <w:color w:val="000000" w:themeColor="text1"/>
              </w:rPr>
              <w:t>2022-06-24</w:t>
            </w:r>
          </w:p>
        </w:tc>
        <w:tc>
          <w:tcPr>
            <w:tcW w:w="1559" w:type="dxa"/>
            <w:vAlign w:val="center"/>
          </w:tcPr>
          <w:p w:rsidR="00FF5BC3" w:rsidRDefault="00785DC3">
            <w:pPr>
              <w:jc w:val="center"/>
            </w:pPr>
            <w:r>
              <w:rPr>
                <w:rFonts w:eastAsiaTheme="minorEastAsia"/>
                <w:color w:val="000000" w:themeColor="text1"/>
              </w:rPr>
              <w:t>-</w:t>
            </w:r>
          </w:p>
        </w:tc>
        <w:tc>
          <w:tcPr>
            <w:tcW w:w="1417" w:type="dxa"/>
            <w:vAlign w:val="center"/>
          </w:tcPr>
          <w:p w:rsidR="00FF5BC3" w:rsidRDefault="00785DC3">
            <w:pPr>
              <w:jc w:val="center"/>
            </w:pPr>
            <w:r>
              <w:rPr>
                <w:rFonts w:eastAsiaTheme="minorEastAsia"/>
                <w:color w:val="000000" w:themeColor="text1"/>
              </w:rPr>
              <w:t>6</w:t>
            </w:r>
            <w:r>
              <w:rPr>
                <w:rFonts w:eastAsiaTheme="minorEastAsia"/>
                <w:color w:val="000000" w:themeColor="text1"/>
              </w:rPr>
              <w:t>年</w:t>
            </w:r>
          </w:p>
        </w:tc>
        <w:tc>
          <w:tcPr>
            <w:tcW w:w="2694" w:type="dxa"/>
            <w:vAlign w:val="center"/>
          </w:tcPr>
          <w:p w:rsidR="00FF5BC3" w:rsidRDefault="00785DC3">
            <w:r>
              <w:rPr>
                <w:rFonts w:eastAsiaTheme="minorEastAsia"/>
                <w:color w:val="000000" w:themeColor="text1"/>
              </w:rPr>
              <w:t>毛时超先生，中山大学概率论与数理统计硕士，现任指数及量化投资部基金经理。毛时超先生自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月在平安基金管理有限公司历任量化研究员、基金经理助理、基金经理；自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月加入上投摩根基金管理有限公司，现任指数及量化投资部基金经理。自</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月起担任上投摩根中证创新药产业交易型开放式指数证券投资基金、上投摩根优选多因子股票型证券投资基金基金经理。</w:t>
            </w:r>
          </w:p>
        </w:tc>
      </w:tr>
    </w:tbl>
    <w:p w:rsidR="00FF5BC3" w:rsidRDefault="00785DC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优选多因子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报告期内，中国经济全面走向复工复产，但是面临美国加息、人民币汇率贬值等情况，叠加疫情在不同地区间歇性出现，导致二季度后期的大幅反弹的乐观预期消退，股市随之出现一定幅度的下跌回落，尤其是以新能源为代表的成长型行业。小市值风格股票虽然在前期表现较为强势，后期依然跟随市场出现调整。此外新能源汽车产业上游的锂矿、光伏产业上游的硅料价格继续维持高位，石油、天然气等上游能源价格因为各种因素在高位震荡，影响中下游企业的正常生产运行。</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本基金采用均衡成长的投资策略，基于公司财务基本面、分析师业绩预期等数据，从不同角度评估历</w:t>
      </w:r>
      <w:r>
        <w:rPr>
          <w:rFonts w:eastAsiaTheme="minorEastAsia"/>
          <w:color w:val="000000" w:themeColor="text1"/>
        </w:rPr>
        <w:t>史与未来的成长与估值的匹配度进行选股，在控制投资组合整体估值过高的同时，行业与个股权重分散并且偏向稳健成长的风格。</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展望未来，本基金将会继续采用上述投资策略，在本轮调整行情下普遍处于低位的个股，长期来看具有较高的投资价值与收益空间。</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本报告期上投摩根优选多因子股票份额净值增长率为</w:t>
      </w:r>
      <w:r w:rsidRPr="00FF6B9A">
        <w:rPr>
          <w:rFonts w:eastAsiaTheme="minorEastAsia"/>
          <w:color w:val="000000" w:themeColor="text1"/>
        </w:rPr>
        <w:t>:-17.29%</w:t>
      </w:r>
      <w:r w:rsidRPr="00FF6B9A">
        <w:rPr>
          <w:rFonts w:eastAsiaTheme="minorEastAsia"/>
          <w:color w:val="000000" w:themeColor="text1"/>
        </w:rPr>
        <w:t>，同期业绩比较基准收益率为</w:t>
      </w:r>
      <w:r w:rsidRPr="00FF6B9A">
        <w:rPr>
          <w:rFonts w:eastAsiaTheme="minorEastAsia"/>
          <w:color w:val="000000" w:themeColor="text1"/>
        </w:rPr>
        <w:t>:-12.01%</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kern w:val="0"/>
        </w:rPr>
        <w:t>报告期内，本基金存在连续六十个工作日基金资产净值低于五千万元的情况，出现该情况的时间</w:t>
      </w:r>
      <w:r>
        <w:rPr>
          <w:rFonts w:eastAsiaTheme="minorEastAsia"/>
          <w:color w:val="000000" w:themeColor="text1"/>
          <w:kern w:val="0"/>
        </w:rPr>
        <w:t>范围为</w:t>
      </w:r>
      <w:r>
        <w:rPr>
          <w:rFonts w:eastAsiaTheme="minorEastAsia"/>
          <w:color w:val="000000" w:themeColor="text1"/>
          <w:kern w:val="0"/>
        </w:rPr>
        <w:t>2022</w:t>
      </w:r>
      <w:r>
        <w:rPr>
          <w:rFonts w:eastAsiaTheme="minorEastAsia"/>
          <w:color w:val="000000" w:themeColor="text1"/>
          <w:kern w:val="0"/>
        </w:rPr>
        <w:t>年</w:t>
      </w:r>
      <w:r>
        <w:rPr>
          <w:rFonts w:eastAsiaTheme="minorEastAsia"/>
          <w:color w:val="000000" w:themeColor="text1"/>
          <w:kern w:val="0"/>
        </w:rPr>
        <w:t>07</w:t>
      </w:r>
      <w:r>
        <w:rPr>
          <w:rFonts w:eastAsiaTheme="minorEastAsia"/>
          <w:color w:val="000000" w:themeColor="text1"/>
          <w:kern w:val="0"/>
        </w:rPr>
        <w:t>月</w:t>
      </w:r>
      <w:r>
        <w:rPr>
          <w:rFonts w:eastAsiaTheme="minorEastAsia"/>
          <w:color w:val="000000" w:themeColor="text1"/>
          <w:kern w:val="0"/>
        </w:rPr>
        <w:t>01</w:t>
      </w:r>
      <w:r>
        <w:rPr>
          <w:rFonts w:eastAsiaTheme="minorEastAsia"/>
          <w:color w:val="000000" w:themeColor="text1"/>
          <w:kern w:val="0"/>
        </w:rPr>
        <w:t>日至</w:t>
      </w:r>
      <w:r>
        <w:rPr>
          <w:rFonts w:eastAsiaTheme="minorEastAsia"/>
          <w:color w:val="000000" w:themeColor="text1"/>
          <w:kern w:val="0"/>
        </w:rPr>
        <w:t>2022</w:t>
      </w:r>
      <w:r>
        <w:rPr>
          <w:rFonts w:eastAsiaTheme="minorEastAsia"/>
          <w:color w:val="000000" w:themeColor="text1"/>
          <w:kern w:val="0"/>
        </w:rPr>
        <w:t>年</w:t>
      </w:r>
      <w:r>
        <w:rPr>
          <w:rFonts w:eastAsiaTheme="minorEastAsia"/>
          <w:color w:val="000000" w:themeColor="text1"/>
          <w:kern w:val="0"/>
        </w:rPr>
        <w:t>09</w:t>
      </w:r>
      <w:r>
        <w:rPr>
          <w:rFonts w:eastAsiaTheme="minorEastAsia"/>
          <w:color w:val="000000" w:themeColor="text1"/>
          <w:kern w:val="0"/>
        </w:rPr>
        <w:t>月</w:t>
      </w:r>
      <w:r>
        <w:rPr>
          <w:rFonts w:eastAsiaTheme="minorEastAsia"/>
          <w:color w:val="000000" w:themeColor="text1"/>
          <w:kern w:val="0"/>
        </w:rPr>
        <w:t>30</w:t>
      </w:r>
      <w:r>
        <w:rPr>
          <w:rFonts w:eastAsiaTheme="minorEastAsia"/>
          <w:color w:val="000000" w:themeColor="text1"/>
          <w:kern w:val="0"/>
        </w:rPr>
        <w:t>日。</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基金管理人拟调整本基金运作方式，加大营销力度，提升基金规模，方案已报监管机关。</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8,053,124.48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93.97</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8,053,124.48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93.97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513,862.61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6.00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3,282.14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0.04</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8,570,269.23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460,205.00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5.42</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6,285,652.29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74.01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251,923.00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193,848.00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34,625.00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0.41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108,074.00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121,718.84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299,458.35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3.53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108,000.00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151,220.00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38,400.00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0.45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8,053,124.48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94.83</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FF5BC3">
        <w:tc>
          <w:tcPr>
            <w:tcW w:w="817" w:type="dxa"/>
            <w:vAlign w:val="center"/>
          </w:tcPr>
          <w:p w:rsidR="00FF5BC3" w:rsidRDefault="00785DC3">
            <w:pPr>
              <w:jc w:val="center"/>
            </w:pPr>
            <w:r>
              <w:rPr>
                <w:rFonts w:eastAsiaTheme="minorEastAsia"/>
                <w:kern w:val="0"/>
                <w:sz w:val="24"/>
                <w:szCs w:val="24"/>
              </w:rPr>
              <w:t>1</w:t>
            </w:r>
          </w:p>
        </w:tc>
        <w:tc>
          <w:tcPr>
            <w:tcW w:w="1276" w:type="dxa"/>
            <w:vAlign w:val="center"/>
          </w:tcPr>
          <w:p w:rsidR="00FF5BC3" w:rsidRDefault="00785DC3">
            <w:pPr>
              <w:jc w:val="center"/>
            </w:pPr>
            <w:r>
              <w:rPr>
                <w:rFonts w:eastAsiaTheme="minorEastAsia"/>
                <w:kern w:val="0"/>
                <w:sz w:val="24"/>
                <w:szCs w:val="24"/>
              </w:rPr>
              <w:t>600519</w:t>
            </w:r>
          </w:p>
        </w:tc>
        <w:tc>
          <w:tcPr>
            <w:tcW w:w="1701" w:type="dxa"/>
            <w:vAlign w:val="center"/>
          </w:tcPr>
          <w:p w:rsidR="00FF5BC3" w:rsidRDefault="00785DC3">
            <w:pPr>
              <w:jc w:val="center"/>
            </w:pPr>
            <w:r>
              <w:rPr>
                <w:rFonts w:eastAsiaTheme="minorEastAsia"/>
                <w:kern w:val="0"/>
                <w:sz w:val="24"/>
                <w:szCs w:val="24"/>
              </w:rPr>
              <w:t>贵州茅台</w:t>
            </w:r>
          </w:p>
        </w:tc>
        <w:tc>
          <w:tcPr>
            <w:tcW w:w="1276" w:type="dxa"/>
            <w:vAlign w:val="center"/>
          </w:tcPr>
          <w:p w:rsidR="00FF5BC3" w:rsidRDefault="00785DC3">
            <w:pPr>
              <w:jc w:val="right"/>
            </w:pPr>
            <w:r>
              <w:rPr>
                <w:rFonts w:eastAsiaTheme="minorEastAsia"/>
                <w:kern w:val="0"/>
                <w:sz w:val="24"/>
                <w:szCs w:val="24"/>
              </w:rPr>
              <w:t>300.00</w:t>
            </w:r>
          </w:p>
        </w:tc>
        <w:tc>
          <w:tcPr>
            <w:tcW w:w="1842" w:type="dxa"/>
            <w:vAlign w:val="center"/>
          </w:tcPr>
          <w:p w:rsidR="00FF5BC3" w:rsidRDefault="00785DC3">
            <w:pPr>
              <w:jc w:val="right"/>
            </w:pPr>
            <w:r>
              <w:rPr>
                <w:rFonts w:eastAsiaTheme="minorEastAsia"/>
                <w:kern w:val="0"/>
                <w:sz w:val="24"/>
                <w:szCs w:val="24"/>
              </w:rPr>
              <w:t>561,750.00</w:t>
            </w:r>
          </w:p>
        </w:tc>
        <w:tc>
          <w:tcPr>
            <w:tcW w:w="1616" w:type="dxa"/>
            <w:vAlign w:val="center"/>
          </w:tcPr>
          <w:p w:rsidR="00FF5BC3" w:rsidRDefault="00785DC3">
            <w:pPr>
              <w:jc w:val="right"/>
            </w:pPr>
            <w:r>
              <w:rPr>
                <w:rFonts w:eastAsiaTheme="minorEastAsia"/>
                <w:kern w:val="0"/>
                <w:sz w:val="24"/>
                <w:szCs w:val="24"/>
              </w:rPr>
              <w:t>6.61</w:t>
            </w:r>
          </w:p>
        </w:tc>
      </w:tr>
      <w:tr w:rsidR="00FF5BC3">
        <w:tc>
          <w:tcPr>
            <w:tcW w:w="817" w:type="dxa"/>
            <w:vAlign w:val="center"/>
          </w:tcPr>
          <w:p w:rsidR="00FF5BC3" w:rsidRDefault="00785DC3">
            <w:pPr>
              <w:jc w:val="center"/>
            </w:pPr>
            <w:r>
              <w:rPr>
                <w:rFonts w:eastAsiaTheme="minorEastAsia"/>
                <w:kern w:val="0"/>
                <w:sz w:val="24"/>
                <w:szCs w:val="24"/>
              </w:rPr>
              <w:t>2</w:t>
            </w:r>
          </w:p>
        </w:tc>
        <w:tc>
          <w:tcPr>
            <w:tcW w:w="1276" w:type="dxa"/>
            <w:vAlign w:val="center"/>
          </w:tcPr>
          <w:p w:rsidR="00FF5BC3" w:rsidRDefault="00785DC3">
            <w:pPr>
              <w:jc w:val="center"/>
            </w:pPr>
            <w:r>
              <w:rPr>
                <w:rFonts w:eastAsiaTheme="minorEastAsia"/>
                <w:kern w:val="0"/>
                <w:sz w:val="24"/>
                <w:szCs w:val="24"/>
              </w:rPr>
              <w:t>300750</w:t>
            </w:r>
          </w:p>
        </w:tc>
        <w:tc>
          <w:tcPr>
            <w:tcW w:w="1701" w:type="dxa"/>
            <w:vAlign w:val="center"/>
          </w:tcPr>
          <w:p w:rsidR="00FF5BC3" w:rsidRDefault="00785DC3">
            <w:pPr>
              <w:jc w:val="center"/>
            </w:pPr>
            <w:r>
              <w:rPr>
                <w:rFonts w:eastAsiaTheme="minorEastAsia"/>
                <w:kern w:val="0"/>
                <w:sz w:val="24"/>
                <w:szCs w:val="24"/>
              </w:rPr>
              <w:t>宁德时代</w:t>
            </w:r>
          </w:p>
        </w:tc>
        <w:tc>
          <w:tcPr>
            <w:tcW w:w="1276" w:type="dxa"/>
            <w:vAlign w:val="center"/>
          </w:tcPr>
          <w:p w:rsidR="00FF5BC3" w:rsidRDefault="00785DC3">
            <w:pPr>
              <w:jc w:val="right"/>
            </w:pPr>
            <w:r>
              <w:rPr>
                <w:rFonts w:eastAsiaTheme="minorEastAsia"/>
                <w:kern w:val="0"/>
                <w:sz w:val="24"/>
                <w:szCs w:val="24"/>
              </w:rPr>
              <w:t>1,200.00</w:t>
            </w:r>
          </w:p>
        </w:tc>
        <w:tc>
          <w:tcPr>
            <w:tcW w:w="1842" w:type="dxa"/>
            <w:vAlign w:val="center"/>
          </w:tcPr>
          <w:p w:rsidR="00FF5BC3" w:rsidRDefault="00785DC3">
            <w:pPr>
              <w:jc w:val="right"/>
            </w:pPr>
            <w:r>
              <w:rPr>
                <w:rFonts w:eastAsiaTheme="minorEastAsia"/>
                <w:kern w:val="0"/>
                <w:sz w:val="24"/>
                <w:szCs w:val="24"/>
              </w:rPr>
              <w:t>481,068.00</w:t>
            </w:r>
          </w:p>
        </w:tc>
        <w:tc>
          <w:tcPr>
            <w:tcW w:w="1616" w:type="dxa"/>
            <w:vAlign w:val="center"/>
          </w:tcPr>
          <w:p w:rsidR="00FF5BC3" w:rsidRDefault="00785DC3">
            <w:pPr>
              <w:jc w:val="right"/>
            </w:pPr>
            <w:r>
              <w:rPr>
                <w:rFonts w:eastAsiaTheme="minorEastAsia"/>
                <w:kern w:val="0"/>
                <w:sz w:val="24"/>
                <w:szCs w:val="24"/>
              </w:rPr>
              <w:t>5.66</w:t>
            </w:r>
          </w:p>
        </w:tc>
      </w:tr>
      <w:tr w:rsidR="00FF5BC3">
        <w:tc>
          <w:tcPr>
            <w:tcW w:w="817" w:type="dxa"/>
            <w:vAlign w:val="center"/>
          </w:tcPr>
          <w:p w:rsidR="00FF5BC3" w:rsidRDefault="00785DC3">
            <w:pPr>
              <w:jc w:val="center"/>
            </w:pPr>
            <w:r>
              <w:rPr>
                <w:rFonts w:eastAsiaTheme="minorEastAsia"/>
                <w:kern w:val="0"/>
                <w:sz w:val="24"/>
                <w:szCs w:val="24"/>
              </w:rPr>
              <w:t>3</w:t>
            </w:r>
          </w:p>
        </w:tc>
        <w:tc>
          <w:tcPr>
            <w:tcW w:w="1276" w:type="dxa"/>
            <w:vAlign w:val="center"/>
          </w:tcPr>
          <w:p w:rsidR="00FF5BC3" w:rsidRDefault="00785DC3">
            <w:pPr>
              <w:jc w:val="center"/>
            </w:pPr>
            <w:r>
              <w:rPr>
                <w:rFonts w:eastAsiaTheme="minorEastAsia"/>
                <w:kern w:val="0"/>
                <w:sz w:val="24"/>
                <w:szCs w:val="24"/>
              </w:rPr>
              <w:t>600873</w:t>
            </w:r>
          </w:p>
        </w:tc>
        <w:tc>
          <w:tcPr>
            <w:tcW w:w="1701" w:type="dxa"/>
            <w:vAlign w:val="center"/>
          </w:tcPr>
          <w:p w:rsidR="00FF5BC3" w:rsidRDefault="00785DC3">
            <w:pPr>
              <w:jc w:val="center"/>
            </w:pPr>
            <w:r>
              <w:rPr>
                <w:rFonts w:eastAsiaTheme="minorEastAsia"/>
                <w:kern w:val="0"/>
                <w:sz w:val="24"/>
                <w:szCs w:val="24"/>
              </w:rPr>
              <w:t>梅花生物</w:t>
            </w:r>
          </w:p>
        </w:tc>
        <w:tc>
          <w:tcPr>
            <w:tcW w:w="1276" w:type="dxa"/>
            <w:vAlign w:val="center"/>
          </w:tcPr>
          <w:p w:rsidR="00FF5BC3" w:rsidRDefault="00785DC3">
            <w:pPr>
              <w:jc w:val="right"/>
            </w:pPr>
            <w:r>
              <w:rPr>
                <w:rFonts w:eastAsiaTheme="minorEastAsia"/>
                <w:kern w:val="0"/>
                <w:sz w:val="24"/>
                <w:szCs w:val="24"/>
              </w:rPr>
              <w:t>25,700.00</w:t>
            </w:r>
          </w:p>
        </w:tc>
        <w:tc>
          <w:tcPr>
            <w:tcW w:w="1842" w:type="dxa"/>
            <w:vAlign w:val="center"/>
          </w:tcPr>
          <w:p w:rsidR="00FF5BC3" w:rsidRDefault="00785DC3">
            <w:pPr>
              <w:jc w:val="right"/>
            </w:pPr>
            <w:r>
              <w:rPr>
                <w:rFonts w:eastAsiaTheme="minorEastAsia"/>
                <w:kern w:val="0"/>
                <w:sz w:val="24"/>
                <w:szCs w:val="24"/>
              </w:rPr>
              <w:t>260,341.00</w:t>
            </w:r>
          </w:p>
        </w:tc>
        <w:tc>
          <w:tcPr>
            <w:tcW w:w="1616" w:type="dxa"/>
            <w:vAlign w:val="center"/>
          </w:tcPr>
          <w:p w:rsidR="00FF5BC3" w:rsidRDefault="00785DC3">
            <w:pPr>
              <w:jc w:val="right"/>
            </w:pPr>
            <w:r>
              <w:rPr>
                <w:rFonts w:eastAsiaTheme="minorEastAsia"/>
                <w:kern w:val="0"/>
                <w:sz w:val="24"/>
                <w:szCs w:val="24"/>
              </w:rPr>
              <w:t>3.07</w:t>
            </w:r>
          </w:p>
        </w:tc>
      </w:tr>
      <w:tr w:rsidR="00FF5BC3">
        <w:tc>
          <w:tcPr>
            <w:tcW w:w="817" w:type="dxa"/>
            <w:vAlign w:val="center"/>
          </w:tcPr>
          <w:p w:rsidR="00FF5BC3" w:rsidRDefault="00785DC3">
            <w:pPr>
              <w:jc w:val="center"/>
            </w:pPr>
            <w:r>
              <w:rPr>
                <w:rFonts w:eastAsiaTheme="minorEastAsia"/>
                <w:kern w:val="0"/>
                <w:sz w:val="24"/>
                <w:szCs w:val="24"/>
              </w:rPr>
              <w:t>4</w:t>
            </w:r>
          </w:p>
        </w:tc>
        <w:tc>
          <w:tcPr>
            <w:tcW w:w="1276" w:type="dxa"/>
            <w:vAlign w:val="center"/>
          </w:tcPr>
          <w:p w:rsidR="00FF5BC3" w:rsidRDefault="00785DC3">
            <w:pPr>
              <w:jc w:val="center"/>
            </w:pPr>
            <w:r>
              <w:rPr>
                <w:rFonts w:eastAsiaTheme="minorEastAsia"/>
                <w:kern w:val="0"/>
                <w:sz w:val="24"/>
                <w:szCs w:val="24"/>
              </w:rPr>
              <w:t>002594</w:t>
            </w:r>
          </w:p>
        </w:tc>
        <w:tc>
          <w:tcPr>
            <w:tcW w:w="1701" w:type="dxa"/>
            <w:vAlign w:val="center"/>
          </w:tcPr>
          <w:p w:rsidR="00FF5BC3" w:rsidRDefault="00785DC3">
            <w:pPr>
              <w:jc w:val="center"/>
            </w:pPr>
            <w:r>
              <w:rPr>
                <w:rFonts w:eastAsiaTheme="minorEastAsia"/>
                <w:kern w:val="0"/>
                <w:sz w:val="24"/>
                <w:szCs w:val="24"/>
              </w:rPr>
              <w:t>比亚迪</w:t>
            </w:r>
          </w:p>
        </w:tc>
        <w:tc>
          <w:tcPr>
            <w:tcW w:w="1276" w:type="dxa"/>
            <w:vAlign w:val="center"/>
          </w:tcPr>
          <w:p w:rsidR="00FF5BC3" w:rsidRDefault="00785DC3">
            <w:pPr>
              <w:jc w:val="right"/>
            </w:pPr>
            <w:r>
              <w:rPr>
                <w:rFonts w:eastAsiaTheme="minorEastAsia"/>
                <w:kern w:val="0"/>
                <w:sz w:val="24"/>
                <w:szCs w:val="24"/>
              </w:rPr>
              <w:t>1,000.00</w:t>
            </w:r>
          </w:p>
        </w:tc>
        <w:tc>
          <w:tcPr>
            <w:tcW w:w="1842" w:type="dxa"/>
            <w:vAlign w:val="center"/>
          </w:tcPr>
          <w:p w:rsidR="00FF5BC3" w:rsidRDefault="00785DC3">
            <w:pPr>
              <w:jc w:val="right"/>
            </w:pPr>
            <w:r>
              <w:rPr>
                <w:rFonts w:eastAsiaTheme="minorEastAsia"/>
                <w:kern w:val="0"/>
                <w:sz w:val="24"/>
                <w:szCs w:val="24"/>
              </w:rPr>
              <w:t>252,010.00</w:t>
            </w:r>
          </w:p>
        </w:tc>
        <w:tc>
          <w:tcPr>
            <w:tcW w:w="1616" w:type="dxa"/>
            <w:vAlign w:val="center"/>
          </w:tcPr>
          <w:p w:rsidR="00FF5BC3" w:rsidRDefault="00785DC3">
            <w:pPr>
              <w:jc w:val="right"/>
            </w:pPr>
            <w:r>
              <w:rPr>
                <w:rFonts w:eastAsiaTheme="minorEastAsia"/>
                <w:kern w:val="0"/>
                <w:sz w:val="24"/>
                <w:szCs w:val="24"/>
              </w:rPr>
              <w:t>2.97</w:t>
            </w:r>
          </w:p>
        </w:tc>
      </w:tr>
      <w:tr w:rsidR="00FF5BC3">
        <w:tc>
          <w:tcPr>
            <w:tcW w:w="817" w:type="dxa"/>
            <w:vAlign w:val="center"/>
          </w:tcPr>
          <w:p w:rsidR="00FF5BC3" w:rsidRDefault="00785DC3">
            <w:pPr>
              <w:jc w:val="center"/>
            </w:pPr>
            <w:r>
              <w:rPr>
                <w:rFonts w:eastAsiaTheme="minorEastAsia"/>
                <w:kern w:val="0"/>
                <w:sz w:val="24"/>
                <w:szCs w:val="24"/>
              </w:rPr>
              <w:t>5</w:t>
            </w:r>
          </w:p>
        </w:tc>
        <w:tc>
          <w:tcPr>
            <w:tcW w:w="1276" w:type="dxa"/>
            <w:vAlign w:val="center"/>
          </w:tcPr>
          <w:p w:rsidR="00FF5BC3" w:rsidRDefault="00785DC3">
            <w:pPr>
              <w:jc w:val="center"/>
            </w:pPr>
            <w:r>
              <w:rPr>
                <w:rFonts w:eastAsiaTheme="minorEastAsia"/>
                <w:kern w:val="0"/>
                <w:sz w:val="24"/>
                <w:szCs w:val="24"/>
              </w:rPr>
              <w:t>688033</w:t>
            </w:r>
          </w:p>
        </w:tc>
        <w:tc>
          <w:tcPr>
            <w:tcW w:w="1701" w:type="dxa"/>
            <w:vAlign w:val="center"/>
          </w:tcPr>
          <w:p w:rsidR="00FF5BC3" w:rsidRDefault="00785DC3">
            <w:pPr>
              <w:jc w:val="center"/>
            </w:pPr>
            <w:r>
              <w:rPr>
                <w:rFonts w:eastAsiaTheme="minorEastAsia"/>
                <w:kern w:val="0"/>
                <w:sz w:val="24"/>
                <w:szCs w:val="24"/>
              </w:rPr>
              <w:t>天宜上佳</w:t>
            </w:r>
          </w:p>
        </w:tc>
        <w:tc>
          <w:tcPr>
            <w:tcW w:w="1276" w:type="dxa"/>
            <w:vAlign w:val="center"/>
          </w:tcPr>
          <w:p w:rsidR="00FF5BC3" w:rsidRDefault="00785DC3">
            <w:pPr>
              <w:jc w:val="right"/>
            </w:pPr>
            <w:r>
              <w:rPr>
                <w:rFonts w:eastAsiaTheme="minorEastAsia"/>
                <w:kern w:val="0"/>
                <w:sz w:val="24"/>
                <w:szCs w:val="24"/>
              </w:rPr>
              <w:t>9,064.00</w:t>
            </w:r>
          </w:p>
        </w:tc>
        <w:tc>
          <w:tcPr>
            <w:tcW w:w="1842" w:type="dxa"/>
            <w:vAlign w:val="center"/>
          </w:tcPr>
          <w:p w:rsidR="00FF5BC3" w:rsidRDefault="00785DC3">
            <w:pPr>
              <w:jc w:val="right"/>
            </w:pPr>
            <w:r>
              <w:rPr>
                <w:rFonts w:eastAsiaTheme="minorEastAsia"/>
                <w:kern w:val="0"/>
                <w:sz w:val="24"/>
                <w:szCs w:val="24"/>
              </w:rPr>
              <w:t>204,393.20</w:t>
            </w:r>
          </w:p>
        </w:tc>
        <w:tc>
          <w:tcPr>
            <w:tcW w:w="1616" w:type="dxa"/>
            <w:vAlign w:val="center"/>
          </w:tcPr>
          <w:p w:rsidR="00FF5BC3" w:rsidRDefault="00785DC3">
            <w:pPr>
              <w:jc w:val="right"/>
            </w:pPr>
            <w:r>
              <w:rPr>
                <w:rFonts w:eastAsiaTheme="minorEastAsia"/>
                <w:kern w:val="0"/>
                <w:sz w:val="24"/>
                <w:szCs w:val="24"/>
              </w:rPr>
              <w:t>2.41</w:t>
            </w:r>
          </w:p>
        </w:tc>
      </w:tr>
      <w:tr w:rsidR="00FF5BC3">
        <w:tc>
          <w:tcPr>
            <w:tcW w:w="817" w:type="dxa"/>
            <w:vAlign w:val="center"/>
          </w:tcPr>
          <w:p w:rsidR="00FF5BC3" w:rsidRDefault="00785DC3">
            <w:pPr>
              <w:jc w:val="center"/>
            </w:pPr>
            <w:r>
              <w:rPr>
                <w:rFonts w:eastAsiaTheme="minorEastAsia"/>
                <w:kern w:val="0"/>
                <w:sz w:val="24"/>
                <w:szCs w:val="24"/>
              </w:rPr>
              <w:t>6</w:t>
            </w:r>
          </w:p>
        </w:tc>
        <w:tc>
          <w:tcPr>
            <w:tcW w:w="1276" w:type="dxa"/>
            <w:vAlign w:val="center"/>
          </w:tcPr>
          <w:p w:rsidR="00FF5BC3" w:rsidRDefault="00785DC3">
            <w:pPr>
              <w:jc w:val="center"/>
            </w:pPr>
            <w:r>
              <w:rPr>
                <w:rFonts w:eastAsiaTheme="minorEastAsia"/>
                <w:kern w:val="0"/>
                <w:sz w:val="24"/>
                <w:szCs w:val="24"/>
              </w:rPr>
              <w:t>000568</w:t>
            </w:r>
          </w:p>
        </w:tc>
        <w:tc>
          <w:tcPr>
            <w:tcW w:w="1701" w:type="dxa"/>
            <w:vAlign w:val="center"/>
          </w:tcPr>
          <w:p w:rsidR="00FF5BC3" w:rsidRDefault="00785DC3">
            <w:pPr>
              <w:jc w:val="center"/>
            </w:pPr>
            <w:r>
              <w:rPr>
                <w:rFonts w:eastAsiaTheme="minorEastAsia"/>
                <w:kern w:val="0"/>
                <w:sz w:val="24"/>
                <w:szCs w:val="24"/>
              </w:rPr>
              <w:t>泸州老窖</w:t>
            </w:r>
          </w:p>
        </w:tc>
        <w:tc>
          <w:tcPr>
            <w:tcW w:w="1276" w:type="dxa"/>
            <w:vAlign w:val="center"/>
          </w:tcPr>
          <w:p w:rsidR="00FF5BC3" w:rsidRDefault="00785DC3">
            <w:pPr>
              <w:jc w:val="right"/>
            </w:pPr>
            <w:r>
              <w:rPr>
                <w:rFonts w:eastAsiaTheme="minorEastAsia"/>
                <w:kern w:val="0"/>
                <w:sz w:val="24"/>
                <w:szCs w:val="24"/>
              </w:rPr>
              <w:t>800.00</w:t>
            </w:r>
          </w:p>
        </w:tc>
        <w:tc>
          <w:tcPr>
            <w:tcW w:w="1842" w:type="dxa"/>
            <w:vAlign w:val="center"/>
          </w:tcPr>
          <w:p w:rsidR="00FF5BC3" w:rsidRDefault="00785DC3">
            <w:pPr>
              <w:jc w:val="right"/>
            </w:pPr>
            <w:r>
              <w:rPr>
                <w:rFonts w:eastAsiaTheme="minorEastAsia"/>
                <w:kern w:val="0"/>
                <w:sz w:val="24"/>
                <w:szCs w:val="24"/>
              </w:rPr>
              <w:t>184,528.00</w:t>
            </w:r>
          </w:p>
        </w:tc>
        <w:tc>
          <w:tcPr>
            <w:tcW w:w="1616" w:type="dxa"/>
            <w:vAlign w:val="center"/>
          </w:tcPr>
          <w:p w:rsidR="00FF5BC3" w:rsidRDefault="00785DC3">
            <w:pPr>
              <w:jc w:val="right"/>
            </w:pPr>
            <w:r>
              <w:rPr>
                <w:rFonts w:eastAsiaTheme="minorEastAsia"/>
                <w:kern w:val="0"/>
                <w:sz w:val="24"/>
                <w:szCs w:val="24"/>
              </w:rPr>
              <w:t>2.17</w:t>
            </w:r>
          </w:p>
        </w:tc>
      </w:tr>
      <w:tr w:rsidR="00FF5BC3">
        <w:tc>
          <w:tcPr>
            <w:tcW w:w="817" w:type="dxa"/>
            <w:vAlign w:val="center"/>
          </w:tcPr>
          <w:p w:rsidR="00FF5BC3" w:rsidRDefault="00785DC3">
            <w:pPr>
              <w:jc w:val="center"/>
            </w:pPr>
            <w:r>
              <w:rPr>
                <w:rFonts w:eastAsiaTheme="minorEastAsia"/>
                <w:kern w:val="0"/>
                <w:sz w:val="24"/>
                <w:szCs w:val="24"/>
              </w:rPr>
              <w:t>7</w:t>
            </w:r>
          </w:p>
        </w:tc>
        <w:tc>
          <w:tcPr>
            <w:tcW w:w="1276" w:type="dxa"/>
            <w:vAlign w:val="center"/>
          </w:tcPr>
          <w:p w:rsidR="00FF5BC3" w:rsidRDefault="00785DC3">
            <w:pPr>
              <w:jc w:val="center"/>
            </w:pPr>
            <w:r>
              <w:rPr>
                <w:rFonts w:eastAsiaTheme="minorEastAsia"/>
                <w:kern w:val="0"/>
                <w:sz w:val="24"/>
                <w:szCs w:val="24"/>
              </w:rPr>
              <w:t>600039</w:t>
            </w:r>
          </w:p>
        </w:tc>
        <w:tc>
          <w:tcPr>
            <w:tcW w:w="1701" w:type="dxa"/>
            <w:vAlign w:val="center"/>
          </w:tcPr>
          <w:p w:rsidR="00FF5BC3" w:rsidRDefault="00785DC3">
            <w:pPr>
              <w:jc w:val="center"/>
            </w:pPr>
            <w:r>
              <w:rPr>
                <w:rFonts w:eastAsiaTheme="minorEastAsia"/>
                <w:kern w:val="0"/>
                <w:sz w:val="24"/>
                <w:szCs w:val="24"/>
              </w:rPr>
              <w:t>四川路桥</w:t>
            </w:r>
          </w:p>
        </w:tc>
        <w:tc>
          <w:tcPr>
            <w:tcW w:w="1276" w:type="dxa"/>
            <w:vAlign w:val="center"/>
          </w:tcPr>
          <w:p w:rsidR="00FF5BC3" w:rsidRDefault="00785DC3">
            <w:pPr>
              <w:jc w:val="right"/>
            </w:pPr>
            <w:r>
              <w:rPr>
                <w:rFonts w:eastAsiaTheme="minorEastAsia"/>
                <w:kern w:val="0"/>
                <w:sz w:val="24"/>
                <w:szCs w:val="24"/>
              </w:rPr>
              <w:t>17,400.00</w:t>
            </w:r>
          </w:p>
        </w:tc>
        <w:tc>
          <w:tcPr>
            <w:tcW w:w="1842" w:type="dxa"/>
            <w:vAlign w:val="center"/>
          </w:tcPr>
          <w:p w:rsidR="00FF5BC3" w:rsidRDefault="00785DC3">
            <w:pPr>
              <w:jc w:val="right"/>
            </w:pPr>
            <w:r>
              <w:rPr>
                <w:rFonts w:eastAsiaTheme="minorEastAsia"/>
                <w:kern w:val="0"/>
                <w:sz w:val="24"/>
                <w:szCs w:val="24"/>
              </w:rPr>
              <w:t>177,828.00</w:t>
            </w:r>
          </w:p>
        </w:tc>
        <w:tc>
          <w:tcPr>
            <w:tcW w:w="1616" w:type="dxa"/>
            <w:vAlign w:val="center"/>
          </w:tcPr>
          <w:p w:rsidR="00FF5BC3" w:rsidRDefault="00785DC3">
            <w:pPr>
              <w:jc w:val="right"/>
            </w:pPr>
            <w:r>
              <w:rPr>
                <w:rFonts w:eastAsiaTheme="minorEastAsia"/>
                <w:kern w:val="0"/>
                <w:sz w:val="24"/>
                <w:szCs w:val="24"/>
              </w:rPr>
              <w:t>2.09</w:t>
            </w:r>
          </w:p>
        </w:tc>
      </w:tr>
      <w:tr w:rsidR="00FF5BC3">
        <w:tc>
          <w:tcPr>
            <w:tcW w:w="817" w:type="dxa"/>
            <w:vAlign w:val="center"/>
          </w:tcPr>
          <w:p w:rsidR="00FF5BC3" w:rsidRDefault="00785DC3">
            <w:pPr>
              <w:jc w:val="center"/>
            </w:pPr>
            <w:r>
              <w:rPr>
                <w:rFonts w:eastAsiaTheme="minorEastAsia"/>
                <w:kern w:val="0"/>
                <w:sz w:val="24"/>
                <w:szCs w:val="24"/>
              </w:rPr>
              <w:t>8</w:t>
            </w:r>
          </w:p>
        </w:tc>
        <w:tc>
          <w:tcPr>
            <w:tcW w:w="1276" w:type="dxa"/>
            <w:vAlign w:val="center"/>
          </w:tcPr>
          <w:p w:rsidR="00FF5BC3" w:rsidRDefault="00785DC3">
            <w:pPr>
              <w:jc w:val="center"/>
            </w:pPr>
            <w:r>
              <w:rPr>
                <w:rFonts w:eastAsiaTheme="minorEastAsia"/>
                <w:kern w:val="0"/>
                <w:sz w:val="24"/>
                <w:szCs w:val="24"/>
              </w:rPr>
              <w:t>603392</w:t>
            </w:r>
          </w:p>
        </w:tc>
        <w:tc>
          <w:tcPr>
            <w:tcW w:w="1701" w:type="dxa"/>
            <w:vAlign w:val="center"/>
          </w:tcPr>
          <w:p w:rsidR="00FF5BC3" w:rsidRDefault="00785DC3">
            <w:pPr>
              <w:jc w:val="center"/>
            </w:pPr>
            <w:r>
              <w:rPr>
                <w:rFonts w:eastAsiaTheme="minorEastAsia"/>
                <w:kern w:val="0"/>
                <w:sz w:val="24"/>
                <w:szCs w:val="24"/>
              </w:rPr>
              <w:t>万泰生物</w:t>
            </w:r>
          </w:p>
        </w:tc>
        <w:tc>
          <w:tcPr>
            <w:tcW w:w="1276" w:type="dxa"/>
            <w:vAlign w:val="center"/>
          </w:tcPr>
          <w:p w:rsidR="00FF5BC3" w:rsidRDefault="00785DC3">
            <w:pPr>
              <w:jc w:val="right"/>
            </w:pPr>
            <w:r>
              <w:rPr>
                <w:rFonts w:eastAsiaTheme="minorEastAsia"/>
                <w:kern w:val="0"/>
                <w:sz w:val="24"/>
                <w:szCs w:val="24"/>
              </w:rPr>
              <w:t>1,441.00</w:t>
            </w:r>
          </w:p>
        </w:tc>
        <w:tc>
          <w:tcPr>
            <w:tcW w:w="1842" w:type="dxa"/>
            <w:vAlign w:val="center"/>
          </w:tcPr>
          <w:p w:rsidR="00FF5BC3" w:rsidRDefault="00785DC3">
            <w:pPr>
              <w:jc w:val="right"/>
            </w:pPr>
            <w:r>
              <w:rPr>
                <w:rFonts w:eastAsiaTheme="minorEastAsia"/>
                <w:kern w:val="0"/>
                <w:sz w:val="24"/>
                <w:szCs w:val="24"/>
              </w:rPr>
              <w:t>164,850.40</w:t>
            </w:r>
          </w:p>
        </w:tc>
        <w:tc>
          <w:tcPr>
            <w:tcW w:w="1616" w:type="dxa"/>
            <w:vAlign w:val="center"/>
          </w:tcPr>
          <w:p w:rsidR="00FF5BC3" w:rsidRDefault="00785DC3">
            <w:pPr>
              <w:jc w:val="right"/>
            </w:pPr>
            <w:r>
              <w:rPr>
                <w:rFonts w:eastAsiaTheme="minorEastAsia"/>
                <w:kern w:val="0"/>
                <w:sz w:val="24"/>
                <w:szCs w:val="24"/>
              </w:rPr>
              <w:t>1.94</w:t>
            </w:r>
          </w:p>
        </w:tc>
      </w:tr>
      <w:tr w:rsidR="00FF5BC3">
        <w:tc>
          <w:tcPr>
            <w:tcW w:w="817" w:type="dxa"/>
            <w:vAlign w:val="center"/>
          </w:tcPr>
          <w:p w:rsidR="00FF5BC3" w:rsidRDefault="00785DC3">
            <w:pPr>
              <w:jc w:val="center"/>
            </w:pPr>
            <w:r>
              <w:rPr>
                <w:rFonts w:eastAsiaTheme="minorEastAsia"/>
                <w:kern w:val="0"/>
                <w:sz w:val="24"/>
                <w:szCs w:val="24"/>
              </w:rPr>
              <w:t>9</w:t>
            </w:r>
          </w:p>
        </w:tc>
        <w:tc>
          <w:tcPr>
            <w:tcW w:w="1276" w:type="dxa"/>
            <w:vAlign w:val="center"/>
          </w:tcPr>
          <w:p w:rsidR="00FF5BC3" w:rsidRDefault="00785DC3">
            <w:pPr>
              <w:jc w:val="center"/>
            </w:pPr>
            <w:r>
              <w:rPr>
                <w:rFonts w:eastAsiaTheme="minorEastAsia"/>
                <w:kern w:val="0"/>
                <w:sz w:val="24"/>
                <w:szCs w:val="24"/>
              </w:rPr>
              <w:t>603599</w:t>
            </w:r>
          </w:p>
        </w:tc>
        <w:tc>
          <w:tcPr>
            <w:tcW w:w="1701" w:type="dxa"/>
            <w:vAlign w:val="center"/>
          </w:tcPr>
          <w:p w:rsidR="00FF5BC3" w:rsidRDefault="00785DC3">
            <w:pPr>
              <w:jc w:val="center"/>
            </w:pPr>
            <w:r>
              <w:rPr>
                <w:rFonts w:eastAsiaTheme="minorEastAsia"/>
                <w:kern w:val="0"/>
                <w:sz w:val="24"/>
                <w:szCs w:val="24"/>
              </w:rPr>
              <w:t>广信股份</w:t>
            </w:r>
          </w:p>
        </w:tc>
        <w:tc>
          <w:tcPr>
            <w:tcW w:w="1276" w:type="dxa"/>
            <w:vAlign w:val="center"/>
          </w:tcPr>
          <w:p w:rsidR="00FF5BC3" w:rsidRDefault="00785DC3">
            <w:pPr>
              <w:jc w:val="right"/>
            </w:pPr>
            <w:r>
              <w:rPr>
                <w:rFonts w:eastAsiaTheme="minorEastAsia"/>
                <w:kern w:val="0"/>
                <w:sz w:val="24"/>
                <w:szCs w:val="24"/>
              </w:rPr>
              <w:t>6,180.00</w:t>
            </w:r>
          </w:p>
        </w:tc>
        <w:tc>
          <w:tcPr>
            <w:tcW w:w="1842" w:type="dxa"/>
            <w:vAlign w:val="center"/>
          </w:tcPr>
          <w:p w:rsidR="00FF5BC3" w:rsidRDefault="00785DC3">
            <w:pPr>
              <w:jc w:val="right"/>
            </w:pPr>
            <w:r>
              <w:rPr>
                <w:rFonts w:eastAsiaTheme="minorEastAsia"/>
                <w:kern w:val="0"/>
                <w:sz w:val="24"/>
                <w:szCs w:val="24"/>
              </w:rPr>
              <w:t>159,258.60</w:t>
            </w:r>
          </w:p>
        </w:tc>
        <w:tc>
          <w:tcPr>
            <w:tcW w:w="1616" w:type="dxa"/>
            <w:vAlign w:val="center"/>
          </w:tcPr>
          <w:p w:rsidR="00FF5BC3" w:rsidRDefault="00785DC3">
            <w:pPr>
              <w:jc w:val="right"/>
            </w:pPr>
            <w:r>
              <w:rPr>
                <w:rFonts w:eastAsiaTheme="minorEastAsia"/>
                <w:kern w:val="0"/>
                <w:sz w:val="24"/>
                <w:szCs w:val="24"/>
              </w:rPr>
              <w:t>1.88</w:t>
            </w:r>
          </w:p>
        </w:tc>
      </w:tr>
      <w:tr w:rsidR="00FF5BC3">
        <w:tc>
          <w:tcPr>
            <w:tcW w:w="817" w:type="dxa"/>
            <w:vAlign w:val="center"/>
          </w:tcPr>
          <w:p w:rsidR="00FF5BC3" w:rsidRDefault="00785DC3">
            <w:pPr>
              <w:jc w:val="center"/>
            </w:pPr>
            <w:r>
              <w:rPr>
                <w:rFonts w:eastAsiaTheme="minorEastAsia"/>
                <w:kern w:val="0"/>
                <w:sz w:val="24"/>
                <w:szCs w:val="24"/>
              </w:rPr>
              <w:t>10</w:t>
            </w:r>
          </w:p>
        </w:tc>
        <w:tc>
          <w:tcPr>
            <w:tcW w:w="1276" w:type="dxa"/>
            <w:vAlign w:val="center"/>
          </w:tcPr>
          <w:p w:rsidR="00FF5BC3" w:rsidRDefault="00785DC3">
            <w:pPr>
              <w:jc w:val="center"/>
            </w:pPr>
            <w:r>
              <w:rPr>
                <w:rFonts w:eastAsiaTheme="minorEastAsia"/>
                <w:kern w:val="0"/>
                <w:sz w:val="24"/>
                <w:szCs w:val="24"/>
              </w:rPr>
              <w:t>603236</w:t>
            </w:r>
          </w:p>
        </w:tc>
        <w:tc>
          <w:tcPr>
            <w:tcW w:w="1701" w:type="dxa"/>
            <w:vAlign w:val="center"/>
          </w:tcPr>
          <w:p w:rsidR="00FF5BC3" w:rsidRDefault="00785DC3">
            <w:pPr>
              <w:jc w:val="center"/>
            </w:pPr>
            <w:r>
              <w:rPr>
                <w:rFonts w:eastAsiaTheme="minorEastAsia"/>
                <w:kern w:val="0"/>
                <w:sz w:val="24"/>
                <w:szCs w:val="24"/>
              </w:rPr>
              <w:t>移远通信</w:t>
            </w:r>
          </w:p>
        </w:tc>
        <w:tc>
          <w:tcPr>
            <w:tcW w:w="1276" w:type="dxa"/>
            <w:vAlign w:val="center"/>
          </w:tcPr>
          <w:p w:rsidR="00FF5BC3" w:rsidRDefault="00785DC3">
            <w:pPr>
              <w:jc w:val="right"/>
            </w:pPr>
            <w:r>
              <w:rPr>
                <w:rFonts w:eastAsiaTheme="minorEastAsia"/>
                <w:kern w:val="0"/>
                <w:sz w:val="24"/>
                <w:szCs w:val="24"/>
              </w:rPr>
              <w:t>1,330.00</w:t>
            </w:r>
          </w:p>
        </w:tc>
        <w:tc>
          <w:tcPr>
            <w:tcW w:w="1842" w:type="dxa"/>
            <w:vAlign w:val="center"/>
          </w:tcPr>
          <w:p w:rsidR="00FF5BC3" w:rsidRDefault="00785DC3">
            <w:pPr>
              <w:jc w:val="right"/>
            </w:pPr>
            <w:r>
              <w:rPr>
                <w:rFonts w:eastAsiaTheme="minorEastAsia"/>
                <w:kern w:val="0"/>
                <w:sz w:val="24"/>
                <w:szCs w:val="24"/>
              </w:rPr>
              <w:t>151,739.70</w:t>
            </w:r>
          </w:p>
        </w:tc>
        <w:tc>
          <w:tcPr>
            <w:tcW w:w="1616" w:type="dxa"/>
            <w:vAlign w:val="center"/>
          </w:tcPr>
          <w:p w:rsidR="00FF5BC3" w:rsidRDefault="00785DC3">
            <w:pPr>
              <w:jc w:val="right"/>
            </w:pPr>
            <w:r>
              <w:rPr>
                <w:rFonts w:eastAsiaTheme="minorEastAsia"/>
                <w:kern w:val="0"/>
                <w:sz w:val="24"/>
                <w:szCs w:val="24"/>
              </w:rPr>
              <w:t>1.79</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914.93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2,367.21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3,282.14</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8,291,696.41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105,702.51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258,987.46</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8,138,411.46</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影响投资者决策的其他重要信息</w:t>
      </w:r>
    </w:p>
    <w:p w:rsidR="00D06738" w:rsidRPr="00FF6B9A" w:rsidRDefault="00454D20">
      <w:pPr>
        <w:autoSpaceDE w:val="0"/>
        <w:autoSpaceDN w:val="0"/>
        <w:adjustRightInd w:val="0"/>
        <w:spacing w:line="360" w:lineRule="auto"/>
        <w:jc w:val="left"/>
        <w:rPr>
          <w:b/>
          <w:bCs/>
          <w:color w:val="000000"/>
          <w:kern w:val="0"/>
          <w:sz w:val="24"/>
          <w:szCs w:val="24"/>
        </w:rPr>
      </w:pPr>
      <w:r w:rsidRPr="00FF6B9A">
        <w:rPr>
          <w:b/>
          <w:bCs/>
          <w:color w:val="000000"/>
          <w:kern w:val="0"/>
          <w:sz w:val="24"/>
          <w:szCs w:val="24"/>
        </w:rPr>
        <w:t xml:space="preserve">8.1 </w:t>
      </w:r>
      <w:r w:rsidRPr="00FF6B9A">
        <w:rPr>
          <w:b/>
          <w:bCs/>
          <w:color w:val="000000"/>
          <w:kern w:val="0"/>
          <w:sz w:val="24"/>
          <w:szCs w:val="24"/>
        </w:rPr>
        <w:t>影响投资者决策的其他重要信息</w:t>
      </w:r>
    </w:p>
    <w:p w:rsidR="00D06738" w:rsidRPr="00FF6B9A" w:rsidRDefault="00454D20">
      <w:pPr>
        <w:spacing w:line="360" w:lineRule="auto"/>
        <w:ind w:firstLineChars="200" w:firstLine="420"/>
        <w:rPr>
          <w:color w:val="000000"/>
        </w:rPr>
      </w:pPr>
      <w:r w:rsidRPr="00FF6B9A">
        <w:rPr>
          <w:color w:val="000000"/>
        </w:rPr>
        <w:t>基金管理人于</w:t>
      </w:r>
      <w:r w:rsidRPr="00FF6B9A">
        <w:rPr>
          <w:color w:val="000000"/>
        </w:rPr>
        <w:t>2022</w:t>
      </w:r>
      <w:r w:rsidRPr="00FF6B9A">
        <w:rPr>
          <w:color w:val="000000"/>
        </w:rPr>
        <w:t>年</w:t>
      </w:r>
      <w:r w:rsidRPr="00FF6B9A">
        <w:rPr>
          <w:color w:val="000000"/>
        </w:rPr>
        <w:t>10</w:t>
      </w:r>
      <w:r w:rsidRPr="00FF6B9A">
        <w:rPr>
          <w:color w:val="000000"/>
        </w:rPr>
        <w:t>月</w:t>
      </w:r>
      <w:r w:rsidRPr="00FF6B9A">
        <w:rPr>
          <w:color w:val="000000"/>
        </w:rPr>
        <w:t>17</w:t>
      </w:r>
      <w:r w:rsidRPr="00FF6B9A">
        <w:rPr>
          <w:color w:val="000000"/>
        </w:rPr>
        <w:t>日发布《关于以通讯开会方式召开上投摩根优选多因子股票型证券投资基金基金份额持有人大会的公告》及相关提示性公告，经与基金托管人协商一致，提议召开基金份额持有人大会终止本基金的基金合同。</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§9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9.1 </w:t>
      </w:r>
      <w:r w:rsidRPr="00FF6B9A">
        <w:rPr>
          <w:rFonts w:eastAsiaTheme="minorEastAsia"/>
          <w:b/>
          <w:bCs/>
          <w:color w:val="000000" w:themeColor="text1"/>
          <w:kern w:val="0"/>
          <w:sz w:val="24"/>
          <w:szCs w:val="24"/>
        </w:rPr>
        <w:t>备查文件目录</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、中国证监会准予上投摩根优选多因子股票型证券投资基金募集注册的文件</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、《上投摩根优选多因子股票型证券投资基金基金合同》</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、《上投摩根优选多因子股票型证券投资基金托管协议》</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、法律意见书</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6</w:t>
      </w:r>
      <w:r>
        <w:rPr>
          <w:rFonts w:eastAsiaTheme="minorEastAsia"/>
          <w:color w:val="000000" w:themeColor="text1"/>
        </w:rPr>
        <w:t>、基金托管人业务资格批件、营业执照</w:t>
      </w:r>
    </w:p>
    <w:p w:rsidR="00FF5BC3" w:rsidRDefault="00785DC3">
      <w:pPr>
        <w:spacing w:line="360" w:lineRule="auto"/>
        <w:ind w:firstLineChars="200" w:firstLine="420"/>
        <w:rPr>
          <w:rFonts w:eastAsiaTheme="minorEastAsia"/>
          <w:color w:val="000000" w:themeColor="text1"/>
        </w:rPr>
      </w:pPr>
      <w:r>
        <w:rPr>
          <w:rFonts w:eastAsiaTheme="minorEastAsia"/>
          <w:color w:val="000000" w:themeColor="text1"/>
        </w:rPr>
        <w:t>7</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8</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基金管理人处或基金托管人住所。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二〇二二年十月二十六日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785DC3" w:rsidRPr="00785DC3">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785DC3">
      <w:rPr>
        <w:rStyle w:val="aff"/>
        <w:noProof/>
      </w:rPr>
      <w:t>12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上投摩根优选多因子股票型证券投资基金</w:t>
    </w:r>
    <w:r>
      <w:rPr>
        <w:rFonts w:hint="eastAsia"/>
      </w:rPr>
      <w:t>2022</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85DC3"/>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5BC3"/>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A6C99-CA83-4082-8430-ED9BD4C3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268</cp:revision>
  <dcterms:created xsi:type="dcterms:W3CDTF">2012-10-16T06:07:00Z</dcterms:created>
  <dcterms:modified xsi:type="dcterms:W3CDTF">2022-10-25T05:50:00Z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