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3398F" w:rsidRDefault="00397616" w:rsidP="00397616">
      <w:pPr>
        <w:autoSpaceDE w:val="0"/>
        <w:autoSpaceDN w:val="0"/>
        <w:adjustRightInd w:val="0"/>
        <w:spacing w:line="360" w:lineRule="auto"/>
        <w:jc w:val="left"/>
        <w:rPr>
          <w:rFonts w:eastAsiaTheme="minorEastAsia" w:hint="eastAsia"/>
          <w:color w:val="000000" w:themeColor="text1"/>
          <w:kern w:val="0"/>
          <w:sz w:val="24"/>
        </w:rPr>
      </w:pPr>
      <w:bookmarkStart w:id="0" w:name="_GoBack"/>
      <w:bookmarkEnd w:id="0"/>
    </w:p>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3398F"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3398F"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3398F" w:rsidRDefault="00F22F00" w:rsidP="00506D57">
      <w:pPr>
        <w:spacing w:line="360" w:lineRule="auto"/>
        <w:jc w:val="center"/>
        <w:rPr>
          <w:rFonts w:eastAsiaTheme="minorEastAsia"/>
          <w:b/>
          <w:color w:val="000000" w:themeColor="text1"/>
          <w:sz w:val="36"/>
          <w:szCs w:val="36"/>
        </w:rPr>
      </w:pPr>
      <w:r w:rsidRPr="00A3398F">
        <w:rPr>
          <w:rFonts w:eastAsiaTheme="minorEastAsia"/>
          <w:b/>
          <w:color w:val="000000" w:themeColor="text1"/>
          <w:sz w:val="36"/>
          <w:szCs w:val="36"/>
        </w:rPr>
        <w:t>摩根全球多元配置证券投资基金</w:t>
      </w:r>
      <w:r w:rsidRPr="00A3398F">
        <w:rPr>
          <w:rFonts w:eastAsiaTheme="minorEastAsia"/>
          <w:b/>
          <w:color w:val="000000" w:themeColor="text1"/>
          <w:sz w:val="36"/>
          <w:szCs w:val="36"/>
        </w:rPr>
        <w:t>(QDII-FOF)</w:t>
      </w:r>
    </w:p>
    <w:p w:rsidR="00F22F00" w:rsidRPr="00A3398F" w:rsidRDefault="00F22F00" w:rsidP="00506D57">
      <w:pPr>
        <w:spacing w:line="360" w:lineRule="auto"/>
        <w:jc w:val="center"/>
        <w:rPr>
          <w:rFonts w:eastAsiaTheme="minorEastAsia"/>
          <w:b/>
          <w:color w:val="000000" w:themeColor="text1"/>
          <w:sz w:val="36"/>
          <w:szCs w:val="36"/>
        </w:rPr>
      </w:pPr>
      <w:r w:rsidRPr="00A3398F">
        <w:rPr>
          <w:rFonts w:eastAsiaTheme="minorEastAsia"/>
          <w:b/>
          <w:color w:val="000000" w:themeColor="text1"/>
          <w:sz w:val="36"/>
          <w:szCs w:val="36"/>
        </w:rPr>
        <w:t>2024</w:t>
      </w:r>
      <w:r w:rsidRPr="00A3398F">
        <w:rPr>
          <w:rFonts w:eastAsiaTheme="minorEastAsia"/>
          <w:b/>
          <w:color w:val="000000" w:themeColor="text1"/>
          <w:sz w:val="36"/>
          <w:szCs w:val="36"/>
        </w:rPr>
        <w:t>年第</w:t>
      </w:r>
      <w:r w:rsidRPr="00A3398F">
        <w:rPr>
          <w:rFonts w:eastAsiaTheme="minorEastAsia"/>
          <w:b/>
          <w:color w:val="000000" w:themeColor="text1"/>
          <w:sz w:val="36"/>
          <w:szCs w:val="36"/>
        </w:rPr>
        <w:t>1</w:t>
      </w:r>
      <w:r w:rsidRPr="00A3398F">
        <w:rPr>
          <w:rFonts w:eastAsiaTheme="minorEastAsia"/>
          <w:b/>
          <w:color w:val="000000" w:themeColor="text1"/>
          <w:sz w:val="36"/>
          <w:szCs w:val="36"/>
        </w:rPr>
        <w:t>季度报告</w:t>
      </w:r>
    </w:p>
    <w:p w:rsidR="00397616" w:rsidRPr="00A3398F" w:rsidRDefault="00623556" w:rsidP="00506D57">
      <w:pPr>
        <w:spacing w:line="360" w:lineRule="auto"/>
        <w:jc w:val="center"/>
        <w:rPr>
          <w:rFonts w:eastAsiaTheme="minorEastAsia"/>
          <w:b/>
          <w:color w:val="000000" w:themeColor="text1"/>
          <w:sz w:val="24"/>
        </w:rPr>
      </w:pPr>
      <w:r w:rsidRPr="00A3398F">
        <w:rPr>
          <w:rFonts w:eastAsiaTheme="minorEastAsia"/>
          <w:b/>
          <w:color w:val="000000" w:themeColor="text1"/>
          <w:sz w:val="24"/>
        </w:rPr>
        <w:t>2024</w:t>
      </w:r>
      <w:r w:rsidRPr="00A3398F">
        <w:rPr>
          <w:rFonts w:eastAsiaTheme="minorEastAsia"/>
          <w:b/>
          <w:color w:val="000000" w:themeColor="text1"/>
          <w:sz w:val="24"/>
        </w:rPr>
        <w:t>年</w:t>
      </w:r>
      <w:r w:rsidRPr="00A3398F">
        <w:rPr>
          <w:rFonts w:eastAsiaTheme="minorEastAsia"/>
          <w:b/>
          <w:color w:val="000000" w:themeColor="text1"/>
          <w:sz w:val="24"/>
        </w:rPr>
        <w:t>3</w:t>
      </w:r>
      <w:r w:rsidRPr="00A3398F">
        <w:rPr>
          <w:rFonts w:eastAsiaTheme="minorEastAsia"/>
          <w:b/>
          <w:color w:val="000000" w:themeColor="text1"/>
          <w:sz w:val="24"/>
        </w:rPr>
        <w:t>月</w:t>
      </w:r>
      <w:r w:rsidRPr="00A3398F">
        <w:rPr>
          <w:rFonts w:eastAsiaTheme="minorEastAsia"/>
          <w:b/>
          <w:color w:val="000000" w:themeColor="text1"/>
          <w:sz w:val="24"/>
        </w:rPr>
        <w:t>31</w:t>
      </w:r>
      <w:r w:rsidRPr="00A3398F">
        <w:rPr>
          <w:rFonts w:eastAsiaTheme="minorEastAsia"/>
          <w:b/>
          <w:color w:val="000000" w:themeColor="text1"/>
          <w:sz w:val="24"/>
        </w:rPr>
        <w:t>日</w:t>
      </w: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397616">
      <w:pPr>
        <w:spacing w:line="360" w:lineRule="auto"/>
        <w:jc w:val="center"/>
        <w:rPr>
          <w:rFonts w:eastAsiaTheme="minorEastAsia"/>
          <w:b/>
          <w:color w:val="000000" w:themeColor="text1"/>
          <w:sz w:val="24"/>
        </w:rPr>
      </w:pPr>
    </w:p>
    <w:p w:rsidR="00397616" w:rsidRPr="00A3398F" w:rsidRDefault="00397616" w:rsidP="00826B12">
      <w:pPr>
        <w:spacing w:line="288" w:lineRule="auto"/>
        <w:ind w:firstLineChars="900" w:firstLine="2168"/>
        <w:rPr>
          <w:rFonts w:eastAsiaTheme="minorEastAsia"/>
          <w:b/>
          <w:color w:val="000000" w:themeColor="text1"/>
          <w:sz w:val="24"/>
        </w:rPr>
      </w:pPr>
    </w:p>
    <w:p w:rsidR="007D1292" w:rsidRPr="00A3398F" w:rsidRDefault="007D1292" w:rsidP="00506D57">
      <w:pPr>
        <w:spacing w:line="360" w:lineRule="auto"/>
        <w:ind w:firstLineChars="900" w:firstLine="2168"/>
        <w:rPr>
          <w:rFonts w:eastAsiaTheme="minorEastAsia"/>
          <w:b/>
          <w:color w:val="000000" w:themeColor="text1"/>
          <w:sz w:val="24"/>
        </w:rPr>
      </w:pPr>
      <w:r w:rsidRPr="00A3398F">
        <w:rPr>
          <w:rFonts w:eastAsiaTheme="minorEastAsia"/>
          <w:b/>
          <w:color w:val="000000" w:themeColor="text1"/>
          <w:sz w:val="24"/>
        </w:rPr>
        <w:t>基金管理人：摩根基金管理（中国）有限公司</w:t>
      </w:r>
    </w:p>
    <w:p w:rsidR="007D1292" w:rsidRPr="00A3398F" w:rsidRDefault="007D1292" w:rsidP="00506D57">
      <w:pPr>
        <w:spacing w:line="360" w:lineRule="auto"/>
        <w:ind w:firstLineChars="900" w:firstLine="2168"/>
        <w:rPr>
          <w:rFonts w:eastAsiaTheme="minorEastAsia"/>
          <w:b/>
          <w:color w:val="000000" w:themeColor="text1"/>
          <w:sz w:val="24"/>
        </w:rPr>
      </w:pPr>
      <w:r w:rsidRPr="00A3398F">
        <w:rPr>
          <w:rFonts w:eastAsiaTheme="minorEastAsia"/>
          <w:b/>
          <w:color w:val="000000" w:themeColor="text1"/>
          <w:sz w:val="24"/>
        </w:rPr>
        <w:t>基金托管人：招商银行股份有限公司</w:t>
      </w:r>
    </w:p>
    <w:p w:rsidR="007D1292" w:rsidRPr="00A3398F" w:rsidRDefault="007D1292" w:rsidP="00506D57">
      <w:pPr>
        <w:spacing w:line="360" w:lineRule="auto"/>
        <w:ind w:firstLineChars="900" w:firstLine="2168"/>
        <w:rPr>
          <w:rFonts w:eastAsiaTheme="minorEastAsia"/>
          <w:b/>
          <w:color w:val="000000" w:themeColor="text1"/>
          <w:sz w:val="24"/>
        </w:rPr>
        <w:sectPr w:rsidR="007D1292" w:rsidRPr="00A3398F" w:rsidSect="00B918B8">
          <w:headerReference w:type="default" r:id="rId7"/>
          <w:footerReference w:type="default" r:id="rId8"/>
          <w:pgSz w:w="11926" w:h="15840"/>
          <w:pgMar w:top="1418" w:right="1418" w:bottom="851" w:left="1418" w:header="851" w:footer="992" w:gutter="0"/>
          <w:cols w:space="720"/>
          <w:noEndnote/>
        </w:sectPr>
      </w:pPr>
      <w:r w:rsidRPr="00A3398F">
        <w:rPr>
          <w:rFonts w:eastAsiaTheme="minorEastAsia"/>
          <w:b/>
          <w:color w:val="000000" w:themeColor="text1"/>
          <w:sz w:val="24"/>
        </w:rPr>
        <w:t>报告送出日期：</w:t>
      </w:r>
      <w:r w:rsidR="00CB44DE" w:rsidRPr="00A3398F">
        <w:rPr>
          <w:rFonts w:eastAsiaTheme="minorEastAsia"/>
          <w:b/>
          <w:color w:val="000000" w:themeColor="text1"/>
          <w:sz w:val="24"/>
        </w:rPr>
        <w:t>二〇二四年四月二十二日</w:t>
      </w:r>
    </w:p>
    <w:p w:rsidR="0076518F" w:rsidRPr="00A3398F" w:rsidRDefault="0076518F" w:rsidP="009E705F">
      <w:pPr>
        <w:pStyle w:val="1"/>
        <w:spacing w:beforeLines="100" w:before="312" w:afterLines="100" w:after="312" w:line="360" w:lineRule="auto"/>
        <w:jc w:val="center"/>
        <w:rPr>
          <w:rFonts w:eastAsiaTheme="minorEastAsia"/>
          <w:b w:val="0"/>
          <w:color w:val="000000" w:themeColor="text1"/>
          <w:kern w:val="0"/>
          <w:sz w:val="24"/>
          <w:szCs w:val="24"/>
        </w:rPr>
      </w:pPr>
      <w:r w:rsidRPr="00A3398F">
        <w:rPr>
          <w:rFonts w:eastAsiaTheme="minorEastAsia"/>
          <w:color w:val="000000" w:themeColor="text1"/>
          <w:kern w:val="0"/>
          <w:sz w:val="24"/>
          <w:szCs w:val="24"/>
        </w:rPr>
        <w:lastRenderedPageBreak/>
        <w:t xml:space="preserve">§1  </w:t>
      </w:r>
      <w:r w:rsidRPr="00A3398F">
        <w:rPr>
          <w:rFonts w:eastAsiaTheme="minorEastAsia"/>
          <w:color w:val="000000" w:themeColor="text1"/>
          <w:kern w:val="0"/>
          <w:sz w:val="24"/>
          <w:szCs w:val="24"/>
        </w:rPr>
        <w:t>重要提示</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3398F" w:rsidRDefault="007D1292" w:rsidP="006669C9">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本报告期自</w:t>
      </w:r>
      <w:r w:rsidRPr="00A3398F">
        <w:rPr>
          <w:rFonts w:eastAsiaTheme="minorEastAsia"/>
          <w:color w:val="000000" w:themeColor="text1"/>
          <w:szCs w:val="21"/>
        </w:rPr>
        <w:t>2024</w:t>
      </w:r>
      <w:r w:rsidRPr="00A3398F">
        <w:rPr>
          <w:rFonts w:eastAsiaTheme="minorEastAsia"/>
          <w:color w:val="000000" w:themeColor="text1"/>
          <w:szCs w:val="21"/>
        </w:rPr>
        <w:t>年</w:t>
      </w:r>
      <w:r w:rsidRPr="00A3398F">
        <w:rPr>
          <w:rFonts w:eastAsiaTheme="minorEastAsia"/>
          <w:color w:val="000000" w:themeColor="text1"/>
          <w:szCs w:val="21"/>
        </w:rPr>
        <w:t>1</w:t>
      </w:r>
      <w:r w:rsidRPr="00A3398F">
        <w:rPr>
          <w:rFonts w:eastAsiaTheme="minorEastAsia"/>
          <w:color w:val="000000" w:themeColor="text1"/>
          <w:szCs w:val="21"/>
        </w:rPr>
        <w:t>月</w:t>
      </w:r>
      <w:r w:rsidRPr="00A3398F">
        <w:rPr>
          <w:rFonts w:eastAsiaTheme="minorEastAsia"/>
          <w:color w:val="000000" w:themeColor="text1"/>
          <w:szCs w:val="21"/>
        </w:rPr>
        <w:t>1</w:t>
      </w:r>
      <w:r w:rsidRPr="00A3398F">
        <w:rPr>
          <w:rFonts w:eastAsiaTheme="minorEastAsia"/>
          <w:color w:val="000000" w:themeColor="text1"/>
          <w:szCs w:val="21"/>
        </w:rPr>
        <w:t>日起至</w:t>
      </w:r>
      <w:r w:rsidRPr="00A3398F">
        <w:rPr>
          <w:rFonts w:eastAsiaTheme="minorEastAsia"/>
          <w:color w:val="000000" w:themeColor="text1"/>
          <w:szCs w:val="21"/>
        </w:rPr>
        <w:t>3</w:t>
      </w:r>
      <w:r w:rsidRPr="00A3398F">
        <w:rPr>
          <w:rFonts w:eastAsiaTheme="minorEastAsia"/>
          <w:color w:val="000000" w:themeColor="text1"/>
          <w:szCs w:val="21"/>
        </w:rPr>
        <w:t>月</w:t>
      </w:r>
      <w:r w:rsidRPr="00A3398F">
        <w:rPr>
          <w:rFonts w:eastAsiaTheme="minorEastAsia"/>
          <w:color w:val="000000" w:themeColor="text1"/>
          <w:szCs w:val="21"/>
        </w:rPr>
        <w:t>31</w:t>
      </w:r>
      <w:r w:rsidRPr="00A3398F">
        <w:rPr>
          <w:rFonts w:eastAsiaTheme="minorEastAsia"/>
          <w:color w:val="000000" w:themeColor="text1"/>
          <w:szCs w:val="21"/>
        </w:rPr>
        <w:t>日止。</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§2  </w:t>
      </w:r>
      <w:r w:rsidRPr="00A3398F">
        <w:rPr>
          <w:rFonts w:eastAsiaTheme="minorEastAsia"/>
          <w:color w:val="000000" w:themeColor="text1"/>
          <w:kern w:val="0"/>
          <w:sz w:val="24"/>
          <w:szCs w:val="24"/>
        </w:rPr>
        <w:t>基金产品概况</w:t>
      </w:r>
    </w:p>
    <w:tbl>
      <w:tblPr>
        <w:tblW w:w="8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2780"/>
        <w:gridCol w:w="2663"/>
      </w:tblGrid>
      <w:tr w:rsidR="008277FF" w:rsidRPr="00A3398F" w:rsidTr="003376D5">
        <w:tc>
          <w:tcPr>
            <w:tcW w:w="2980" w:type="dxa"/>
            <w:vAlign w:val="center"/>
          </w:tcPr>
          <w:p w:rsidR="00363E15" w:rsidRPr="00A3398F" w:rsidRDefault="00363E15"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基金简称</w:t>
            </w:r>
          </w:p>
        </w:tc>
        <w:tc>
          <w:tcPr>
            <w:tcW w:w="5443" w:type="dxa"/>
            <w:gridSpan w:val="2"/>
            <w:vAlign w:val="center"/>
          </w:tcPr>
          <w:p w:rsidR="00363E15" w:rsidRPr="00A3398F" w:rsidRDefault="00363E15"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摩根全球多元配置</w:t>
            </w:r>
            <w:r w:rsidRPr="00A3398F">
              <w:rPr>
                <w:rFonts w:eastAsiaTheme="minorEastAsia"/>
                <w:color w:val="000000" w:themeColor="text1"/>
                <w:kern w:val="0"/>
                <w:szCs w:val="21"/>
              </w:rPr>
              <w:t>(QDII-FOF)</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基金主代码</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003629</w:t>
            </w:r>
          </w:p>
        </w:tc>
      </w:tr>
      <w:tr w:rsidR="008277FF" w:rsidRPr="00A3398F" w:rsidTr="003376D5">
        <w:tc>
          <w:tcPr>
            <w:tcW w:w="2980" w:type="dxa"/>
            <w:vAlign w:val="center"/>
          </w:tcPr>
          <w:p w:rsidR="005837E4" w:rsidRPr="00A3398F" w:rsidRDefault="005837E4"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交易代码</w:t>
            </w:r>
          </w:p>
        </w:tc>
        <w:tc>
          <w:tcPr>
            <w:tcW w:w="5443" w:type="dxa"/>
            <w:gridSpan w:val="2"/>
            <w:vAlign w:val="center"/>
          </w:tcPr>
          <w:p w:rsidR="005837E4" w:rsidRPr="00A3398F" w:rsidRDefault="005837E4"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003629</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基金运作方式</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契约型开放式</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基金合同生效日</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2016</w:t>
            </w:r>
            <w:r w:rsidRPr="00A3398F">
              <w:rPr>
                <w:rFonts w:eastAsiaTheme="minorEastAsia"/>
                <w:color w:val="000000" w:themeColor="text1"/>
                <w:kern w:val="0"/>
                <w:szCs w:val="21"/>
              </w:rPr>
              <w:t>年</w:t>
            </w:r>
            <w:r w:rsidRPr="00A3398F">
              <w:rPr>
                <w:rFonts w:eastAsiaTheme="minorEastAsia"/>
                <w:color w:val="000000" w:themeColor="text1"/>
                <w:kern w:val="0"/>
                <w:szCs w:val="21"/>
              </w:rPr>
              <w:t>12</w:t>
            </w:r>
            <w:r w:rsidRPr="00A3398F">
              <w:rPr>
                <w:rFonts w:eastAsiaTheme="minorEastAsia"/>
                <w:color w:val="000000" w:themeColor="text1"/>
                <w:kern w:val="0"/>
                <w:szCs w:val="21"/>
              </w:rPr>
              <w:t>月</w:t>
            </w:r>
            <w:r w:rsidRPr="00A3398F">
              <w:rPr>
                <w:rFonts w:eastAsiaTheme="minorEastAsia"/>
                <w:color w:val="000000" w:themeColor="text1"/>
                <w:kern w:val="0"/>
                <w:szCs w:val="21"/>
              </w:rPr>
              <w:t>19</w:t>
            </w:r>
            <w:r w:rsidRPr="00A3398F">
              <w:rPr>
                <w:rFonts w:eastAsiaTheme="minorEastAsia"/>
                <w:color w:val="000000" w:themeColor="text1"/>
                <w:kern w:val="0"/>
                <w:szCs w:val="21"/>
              </w:rPr>
              <w:t>日</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报告期末基金份额总额</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351,578,893.62</w:t>
            </w:r>
            <w:r w:rsidRPr="00A3398F">
              <w:rPr>
                <w:rFonts w:eastAsiaTheme="minorEastAsia"/>
                <w:color w:val="000000" w:themeColor="text1"/>
                <w:kern w:val="0"/>
                <w:szCs w:val="21"/>
              </w:rPr>
              <w:t>份</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投资目标</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通过全球化的资产配置和组合管理，有效地分散投资风险；在降低组合波动性的同时，实现资产的长期增值。</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投资策略</w:t>
            </w:r>
          </w:p>
        </w:tc>
        <w:tc>
          <w:tcPr>
            <w:tcW w:w="5443" w:type="dxa"/>
            <w:gridSpan w:val="2"/>
            <w:vAlign w:val="center"/>
          </w:tcPr>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、大类资产配置策略</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本基金在大类资产配置层面将贯彻</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的资产组合配置策略，运用定性和定量相结合的方式确定基金资产配置长期比例。</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、区域资产配置策略</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比例后，将动态跟踪各国家或地区的权重，对其估值水平及风险收益特征进行研究并结合风险预算确定超配和低配比例。</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、行业资产配置策略</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险预算确定行业资产的具体超配和低配比例。</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、标的基金投资策略</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目前本基金将主要投资于摩根资产管理（</w:t>
            </w:r>
            <w:r>
              <w:rPr>
                <w:rFonts w:eastAsiaTheme="minorEastAsia"/>
                <w:color w:val="000000" w:themeColor="text1"/>
                <w:kern w:val="0"/>
                <w:szCs w:val="21"/>
              </w:rPr>
              <w:t>J.P. Morgan Asset Management</w:t>
            </w:r>
            <w:r>
              <w:rPr>
                <w:rFonts w:eastAsiaTheme="minorEastAsia"/>
                <w:color w:val="000000" w:themeColor="text1"/>
                <w:kern w:val="0"/>
                <w:szCs w:val="21"/>
              </w:rPr>
              <w:t>）旗下的公募基金，并根据定量及定性分析策略优选标的基金。摩根资产管理（</w:t>
            </w:r>
            <w:r>
              <w:rPr>
                <w:rFonts w:eastAsiaTheme="minorEastAsia"/>
                <w:color w:val="000000" w:themeColor="text1"/>
                <w:kern w:val="0"/>
                <w:szCs w:val="21"/>
              </w:rPr>
              <w:t>J.P. Morgan Asset Management</w:t>
            </w:r>
            <w:r>
              <w:rPr>
                <w:rFonts w:eastAsiaTheme="minorEastAsia"/>
                <w:color w:val="000000" w:themeColor="text1"/>
                <w:kern w:val="0"/>
                <w:szCs w:val="21"/>
              </w:rPr>
              <w:t>）主要是指与基金管理人存在关联关系的摩根资产管理旗下的法人实体，包括但不限于</w:t>
            </w:r>
            <w:r>
              <w:rPr>
                <w:rFonts w:eastAsiaTheme="minorEastAsia"/>
                <w:color w:val="000000" w:themeColor="text1"/>
                <w:kern w:val="0"/>
                <w:szCs w:val="21"/>
              </w:rPr>
              <w:t>JPMorgan Funds (Asia) Limited</w:t>
            </w:r>
            <w:r>
              <w:rPr>
                <w:rFonts w:eastAsiaTheme="minorEastAsia"/>
                <w:color w:val="000000" w:themeColor="text1"/>
                <w:kern w:val="0"/>
                <w:szCs w:val="21"/>
              </w:rPr>
              <w:t>、</w:t>
            </w:r>
            <w:r>
              <w:rPr>
                <w:rFonts w:eastAsiaTheme="minorEastAsia"/>
                <w:color w:val="000000" w:themeColor="text1"/>
                <w:kern w:val="0"/>
                <w:szCs w:val="21"/>
              </w:rPr>
              <w:t>JPMorgan Asset Management (UK) Limited</w:t>
            </w:r>
            <w:r>
              <w:rPr>
                <w:rFonts w:eastAsiaTheme="minorEastAsia"/>
                <w:color w:val="000000" w:themeColor="text1"/>
                <w:kern w:val="0"/>
                <w:szCs w:val="21"/>
              </w:rPr>
              <w:t>等。</w:t>
            </w:r>
          </w:p>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、金融衍生品投资策略</w:t>
            </w:r>
          </w:p>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本基金可本着谨慎和风险可控的原则投资于金融衍生品，以避险和增值、管理汇率风险。</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lastRenderedPageBreak/>
              <w:t>业绩比较基准</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MSCI</w:t>
            </w:r>
            <w:r w:rsidRPr="00A3398F">
              <w:rPr>
                <w:rFonts w:eastAsiaTheme="minorEastAsia"/>
                <w:color w:val="000000" w:themeColor="text1"/>
                <w:kern w:val="0"/>
                <w:szCs w:val="21"/>
              </w:rPr>
              <w:t>全球指数（</w:t>
            </w:r>
            <w:r w:rsidRPr="00A3398F">
              <w:rPr>
                <w:rFonts w:eastAsiaTheme="minorEastAsia"/>
                <w:color w:val="000000" w:themeColor="text1"/>
                <w:kern w:val="0"/>
                <w:szCs w:val="21"/>
              </w:rPr>
              <w:t>MSCI ACWI</w:t>
            </w:r>
            <w:r w:rsidRPr="00A3398F">
              <w:rPr>
                <w:rFonts w:eastAsiaTheme="minorEastAsia"/>
                <w:color w:val="000000" w:themeColor="text1"/>
                <w:kern w:val="0"/>
                <w:szCs w:val="21"/>
              </w:rPr>
              <w:t>）</w:t>
            </w:r>
            <w:r w:rsidRPr="00A3398F">
              <w:rPr>
                <w:rFonts w:eastAsiaTheme="minorEastAsia"/>
                <w:color w:val="000000" w:themeColor="text1"/>
                <w:kern w:val="0"/>
                <w:szCs w:val="21"/>
              </w:rPr>
              <w:t>*80%+</w:t>
            </w:r>
            <w:r w:rsidRPr="00A3398F">
              <w:rPr>
                <w:rFonts w:eastAsiaTheme="minorEastAsia"/>
                <w:color w:val="000000" w:themeColor="text1"/>
                <w:kern w:val="0"/>
                <w:szCs w:val="21"/>
              </w:rPr>
              <w:t>摩根大通全球债券指数（</w:t>
            </w:r>
            <w:r w:rsidRPr="00A3398F">
              <w:rPr>
                <w:rFonts w:eastAsiaTheme="minorEastAsia"/>
                <w:color w:val="000000" w:themeColor="text1"/>
                <w:kern w:val="0"/>
                <w:szCs w:val="21"/>
              </w:rPr>
              <w:t>J.P. Morgan Global Aggregate Bond Index</w:t>
            </w:r>
            <w:r w:rsidRPr="00A3398F">
              <w:rPr>
                <w:rFonts w:eastAsiaTheme="minorEastAsia"/>
                <w:color w:val="000000" w:themeColor="text1"/>
                <w:kern w:val="0"/>
                <w:szCs w:val="21"/>
              </w:rPr>
              <w:t>）</w:t>
            </w:r>
            <w:r w:rsidRPr="00A3398F">
              <w:rPr>
                <w:rFonts w:eastAsiaTheme="minorEastAsia"/>
                <w:color w:val="000000" w:themeColor="text1"/>
                <w:kern w:val="0"/>
                <w:szCs w:val="21"/>
              </w:rPr>
              <w:t>*20%</w:t>
            </w:r>
            <w:r w:rsidRPr="00A3398F">
              <w:rPr>
                <w:rFonts w:eastAsiaTheme="minorEastAsia"/>
                <w:color w:val="000000" w:themeColor="text1"/>
                <w:kern w:val="0"/>
                <w:szCs w:val="21"/>
              </w:rPr>
              <w:t>。</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风险收益特征</w:t>
            </w:r>
          </w:p>
        </w:tc>
        <w:tc>
          <w:tcPr>
            <w:tcW w:w="5443" w:type="dxa"/>
            <w:gridSpan w:val="2"/>
            <w:vAlign w:val="center"/>
          </w:tcPr>
          <w:p w:rsidR="00233BAF" w:rsidRDefault="0085706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本基金主要投资于境外公募基金，属于中等风险收益水平的证券投资基金产品，预期风险和收益水平低于股票型基金，高于债券型基金和货币市场基金。</w:t>
            </w:r>
          </w:p>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根据</w:t>
            </w:r>
            <w:r w:rsidRPr="00A3398F">
              <w:rPr>
                <w:rFonts w:eastAsiaTheme="minorEastAsia"/>
                <w:color w:val="000000" w:themeColor="text1"/>
                <w:kern w:val="0"/>
                <w:szCs w:val="21"/>
              </w:rPr>
              <w:t>2017</w:t>
            </w:r>
            <w:r w:rsidRPr="00A3398F">
              <w:rPr>
                <w:rFonts w:eastAsiaTheme="minorEastAsia"/>
                <w:color w:val="000000" w:themeColor="text1"/>
                <w:kern w:val="0"/>
                <w:szCs w:val="21"/>
              </w:rPr>
              <w:t>年</w:t>
            </w:r>
            <w:r w:rsidRPr="00A3398F">
              <w:rPr>
                <w:rFonts w:eastAsiaTheme="minorEastAsia"/>
                <w:color w:val="000000" w:themeColor="text1"/>
                <w:kern w:val="0"/>
                <w:szCs w:val="21"/>
              </w:rPr>
              <w:t>7</w:t>
            </w:r>
            <w:r w:rsidRPr="00A3398F">
              <w:rPr>
                <w:rFonts w:eastAsiaTheme="minorEastAsia"/>
                <w:color w:val="000000" w:themeColor="text1"/>
                <w:kern w:val="0"/>
                <w:szCs w:val="21"/>
              </w:rPr>
              <w:t>月</w:t>
            </w:r>
            <w:r w:rsidRPr="00A3398F">
              <w:rPr>
                <w:rFonts w:eastAsiaTheme="minorEastAsia"/>
                <w:color w:val="000000" w:themeColor="text1"/>
                <w:kern w:val="0"/>
                <w:szCs w:val="21"/>
              </w:rPr>
              <w:t>1</w:t>
            </w:r>
            <w:r w:rsidRPr="00A3398F">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基金管理人</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摩根基金管理（中国）有限公司</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基金托管人</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szCs w:val="21"/>
              </w:rPr>
            </w:pPr>
            <w:r w:rsidRPr="00A3398F">
              <w:rPr>
                <w:rFonts w:eastAsiaTheme="minorEastAsia"/>
                <w:color w:val="000000" w:themeColor="text1"/>
                <w:kern w:val="0"/>
                <w:szCs w:val="21"/>
              </w:rPr>
              <w:t>招商银行股份有限公司</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境外投资顾问英文名称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JPMORGAN ASSET MANAGEMENT (ASIA PACIFIC) LIMITED</w:t>
            </w:r>
          </w:p>
        </w:tc>
      </w:tr>
      <w:tr w:rsidR="008277FF" w:rsidRPr="00A3398F" w:rsidTr="003376D5">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境外投资顾问中文名称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摩根资产管理</w:t>
            </w:r>
            <w:r w:rsidRPr="00A3398F">
              <w:rPr>
                <w:rFonts w:eastAsiaTheme="minorEastAsia"/>
                <w:color w:val="000000" w:themeColor="text1"/>
                <w:kern w:val="0"/>
                <w:szCs w:val="21"/>
              </w:rPr>
              <w:t>(</w:t>
            </w:r>
            <w:r w:rsidRPr="00A3398F">
              <w:rPr>
                <w:rFonts w:eastAsiaTheme="minorEastAsia"/>
                <w:color w:val="000000" w:themeColor="text1"/>
                <w:kern w:val="0"/>
                <w:szCs w:val="21"/>
              </w:rPr>
              <w:t>亚太</w:t>
            </w:r>
            <w:r w:rsidRPr="00A3398F">
              <w:rPr>
                <w:rFonts w:eastAsiaTheme="minorEastAsia"/>
                <w:color w:val="000000" w:themeColor="text1"/>
                <w:kern w:val="0"/>
                <w:szCs w:val="21"/>
              </w:rPr>
              <w:t>)</w:t>
            </w:r>
            <w:r w:rsidRPr="00A3398F">
              <w:rPr>
                <w:rFonts w:eastAsiaTheme="minorEastAsia"/>
                <w:color w:val="000000" w:themeColor="text1"/>
                <w:kern w:val="0"/>
                <w:szCs w:val="21"/>
              </w:rPr>
              <w:t>有限公司</w:t>
            </w:r>
          </w:p>
        </w:tc>
      </w:tr>
      <w:tr w:rsidR="008277FF" w:rsidRPr="00A3398F" w:rsidTr="0031104D">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境外资产托管人英文名称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The Hong Kong and Shanghai Banking Corporation Limited</w:t>
            </w:r>
          </w:p>
        </w:tc>
      </w:tr>
      <w:tr w:rsidR="008277FF" w:rsidRPr="00A3398F" w:rsidTr="0031104D">
        <w:tc>
          <w:tcPr>
            <w:tcW w:w="2980" w:type="dxa"/>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境外资产托管人中文名称</w:t>
            </w:r>
          </w:p>
        </w:tc>
        <w:tc>
          <w:tcPr>
            <w:tcW w:w="5443" w:type="dxa"/>
            <w:gridSpan w:val="2"/>
            <w:vAlign w:val="center"/>
          </w:tcPr>
          <w:p w:rsidR="0066726C" w:rsidRPr="00A3398F" w:rsidRDefault="0066726C" w:rsidP="003376D5">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香港上海汇丰银行有限公司</w:t>
            </w:r>
          </w:p>
        </w:tc>
      </w:tr>
      <w:tr w:rsidR="00070DD6" w:rsidRPr="00A3398F" w:rsidTr="00845292">
        <w:tblPrEx>
          <w:tblLook w:val="0000" w:firstRow="0" w:lastRow="0" w:firstColumn="0" w:lastColumn="0" w:noHBand="0" w:noVBand="0"/>
        </w:tblPrEx>
        <w:trPr>
          <w:trHeight w:val="866"/>
        </w:trPr>
        <w:tc>
          <w:tcPr>
            <w:tcW w:w="2980" w:type="dxa"/>
          </w:tcPr>
          <w:p w:rsidR="00070DD6" w:rsidRPr="00A3398F" w:rsidRDefault="00070DD6" w:rsidP="00845292">
            <w:pPr>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szCs w:val="21"/>
              </w:rPr>
              <w:t>下属分级基金的基金简称</w:t>
            </w:r>
          </w:p>
        </w:tc>
        <w:tc>
          <w:tcPr>
            <w:tcW w:w="2780"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摩根全球多元配置</w:t>
            </w:r>
            <w:r w:rsidRPr="00A3398F">
              <w:rPr>
                <w:rFonts w:eastAsiaTheme="minorEastAsia"/>
                <w:color w:val="000000" w:themeColor="text1"/>
                <w:szCs w:val="21"/>
              </w:rPr>
              <w:t>(QDII-FOF)</w:t>
            </w:r>
            <w:r w:rsidRPr="00A3398F">
              <w:rPr>
                <w:rFonts w:eastAsiaTheme="minorEastAsia"/>
                <w:color w:val="000000" w:themeColor="text1"/>
                <w:szCs w:val="21"/>
              </w:rPr>
              <w:t>人民币</w:t>
            </w:r>
            <w:r w:rsidRPr="00A3398F">
              <w:rPr>
                <w:rFonts w:eastAsiaTheme="minorEastAsia"/>
                <w:color w:val="000000" w:themeColor="text1"/>
                <w:szCs w:val="21"/>
              </w:rPr>
              <w:t>A</w:t>
            </w:r>
          </w:p>
        </w:tc>
        <w:tc>
          <w:tcPr>
            <w:tcW w:w="2663"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摩根全球多元配置</w:t>
            </w:r>
            <w:r w:rsidRPr="00A3398F">
              <w:rPr>
                <w:rFonts w:eastAsiaTheme="minorEastAsia"/>
                <w:color w:val="000000" w:themeColor="text1"/>
                <w:szCs w:val="21"/>
              </w:rPr>
              <w:t>(QDII-FOF)</w:t>
            </w:r>
            <w:r w:rsidRPr="00A3398F">
              <w:rPr>
                <w:rFonts w:eastAsiaTheme="minorEastAsia"/>
                <w:color w:val="000000" w:themeColor="text1"/>
                <w:szCs w:val="21"/>
              </w:rPr>
              <w:t>人民币</w:t>
            </w:r>
            <w:r w:rsidRPr="00A3398F">
              <w:rPr>
                <w:rFonts w:eastAsiaTheme="minorEastAsia"/>
                <w:color w:val="000000" w:themeColor="text1"/>
                <w:szCs w:val="21"/>
              </w:rPr>
              <w:t>C</w:t>
            </w:r>
          </w:p>
        </w:tc>
      </w:tr>
      <w:tr w:rsidR="00070DD6" w:rsidRPr="00A3398F" w:rsidTr="00845292">
        <w:tblPrEx>
          <w:tblLook w:val="0000" w:firstRow="0" w:lastRow="0" w:firstColumn="0" w:lastColumn="0" w:noHBand="0" w:noVBand="0"/>
        </w:tblPrEx>
        <w:trPr>
          <w:trHeight w:val="628"/>
        </w:trPr>
        <w:tc>
          <w:tcPr>
            <w:tcW w:w="2980" w:type="dxa"/>
          </w:tcPr>
          <w:p w:rsidR="00070DD6" w:rsidRPr="00A3398F" w:rsidRDefault="00070DD6" w:rsidP="00845292">
            <w:pPr>
              <w:adjustRightInd w:val="0"/>
              <w:spacing w:before="29" w:line="360" w:lineRule="auto"/>
              <w:ind w:left="17"/>
              <w:jc w:val="left"/>
              <w:rPr>
                <w:rFonts w:eastAsiaTheme="minorEastAsia"/>
                <w:color w:val="000000" w:themeColor="text1"/>
                <w:szCs w:val="21"/>
              </w:rPr>
            </w:pPr>
            <w:r w:rsidRPr="00A3398F">
              <w:rPr>
                <w:rFonts w:eastAsiaTheme="minorEastAsia"/>
                <w:color w:val="000000" w:themeColor="text1"/>
                <w:szCs w:val="21"/>
              </w:rPr>
              <w:t>下属分级基金的交易代码</w:t>
            </w:r>
          </w:p>
        </w:tc>
        <w:tc>
          <w:tcPr>
            <w:tcW w:w="2780"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003629</w:t>
            </w:r>
          </w:p>
        </w:tc>
        <w:tc>
          <w:tcPr>
            <w:tcW w:w="2663" w:type="dxa"/>
            <w:vAlign w:val="center"/>
          </w:tcPr>
          <w:p w:rsidR="00070DD6" w:rsidRPr="00A3398F" w:rsidRDefault="00070DD6" w:rsidP="00845292">
            <w:pPr>
              <w:jc w:val="left"/>
              <w:rPr>
                <w:rFonts w:eastAsiaTheme="minorEastAsia"/>
                <w:color w:val="000000" w:themeColor="text1"/>
                <w:szCs w:val="21"/>
              </w:rPr>
            </w:pPr>
            <w:r w:rsidRPr="00A3398F">
              <w:rPr>
                <w:rFonts w:eastAsiaTheme="minorEastAsia"/>
                <w:color w:val="000000" w:themeColor="text1"/>
                <w:szCs w:val="21"/>
              </w:rPr>
              <w:t>019512</w:t>
            </w:r>
          </w:p>
        </w:tc>
      </w:tr>
      <w:tr w:rsidR="00322A5E" w:rsidRPr="00A3398F" w:rsidTr="0031104D">
        <w:tblPrEx>
          <w:tblLook w:val="0000" w:firstRow="0" w:lastRow="0" w:firstColumn="0" w:lastColumn="0" w:noHBand="0" w:noVBand="0"/>
        </w:tblPrEx>
        <w:trPr>
          <w:trHeight w:val="555"/>
        </w:trPr>
        <w:tc>
          <w:tcPr>
            <w:tcW w:w="2980" w:type="dxa"/>
            <w:vAlign w:val="center"/>
          </w:tcPr>
          <w:p w:rsidR="00322A5E" w:rsidRPr="00A3398F" w:rsidRDefault="00322A5E" w:rsidP="00845292">
            <w:pPr>
              <w:adjustRightInd w:val="0"/>
              <w:spacing w:before="29" w:line="360" w:lineRule="auto"/>
              <w:ind w:left="17"/>
              <w:rPr>
                <w:rFonts w:eastAsiaTheme="minorEastAsia"/>
                <w:color w:val="000000" w:themeColor="text1"/>
                <w:szCs w:val="21"/>
              </w:rPr>
            </w:pPr>
            <w:r w:rsidRPr="00A3398F">
              <w:rPr>
                <w:rFonts w:eastAsiaTheme="minorEastAsia"/>
                <w:color w:val="000000" w:themeColor="text1"/>
                <w:szCs w:val="21"/>
              </w:rPr>
              <w:t>报告期末下属分级基金的份额总额</w:t>
            </w:r>
          </w:p>
        </w:tc>
        <w:tc>
          <w:tcPr>
            <w:tcW w:w="2780" w:type="dxa"/>
            <w:vAlign w:val="center"/>
          </w:tcPr>
          <w:p w:rsidR="00322A5E" w:rsidRPr="00A3398F" w:rsidRDefault="00322A5E" w:rsidP="00845292">
            <w:pPr>
              <w:rPr>
                <w:rFonts w:eastAsiaTheme="minorEastAsia"/>
                <w:color w:val="000000" w:themeColor="text1"/>
                <w:szCs w:val="21"/>
              </w:rPr>
            </w:pPr>
            <w:r w:rsidRPr="00A3398F">
              <w:rPr>
                <w:rFonts w:eastAsiaTheme="minorEastAsia"/>
                <w:color w:val="000000" w:themeColor="text1"/>
                <w:szCs w:val="21"/>
              </w:rPr>
              <w:t>322,622,850.57</w:t>
            </w:r>
            <w:r w:rsidRPr="00A3398F">
              <w:rPr>
                <w:rFonts w:eastAsiaTheme="minorEastAsia"/>
                <w:color w:val="000000" w:themeColor="text1"/>
                <w:kern w:val="0"/>
                <w:szCs w:val="21"/>
              </w:rPr>
              <w:t>份</w:t>
            </w:r>
          </w:p>
        </w:tc>
        <w:tc>
          <w:tcPr>
            <w:tcW w:w="2663" w:type="dxa"/>
            <w:vAlign w:val="center"/>
          </w:tcPr>
          <w:p w:rsidR="00322A5E" w:rsidRPr="00A3398F" w:rsidRDefault="00322A5E" w:rsidP="00845292">
            <w:pPr>
              <w:rPr>
                <w:rFonts w:eastAsiaTheme="minorEastAsia"/>
                <w:color w:val="000000" w:themeColor="text1"/>
                <w:szCs w:val="21"/>
              </w:rPr>
            </w:pPr>
            <w:r w:rsidRPr="00A3398F">
              <w:rPr>
                <w:rFonts w:eastAsiaTheme="minorEastAsia"/>
                <w:color w:val="000000" w:themeColor="text1"/>
                <w:szCs w:val="21"/>
              </w:rPr>
              <w:t>28,956,043.05</w:t>
            </w:r>
            <w:r w:rsidRPr="00A3398F">
              <w:rPr>
                <w:rFonts w:eastAsiaTheme="minorEastAsia"/>
                <w:color w:val="000000" w:themeColor="text1"/>
                <w:kern w:val="0"/>
                <w:szCs w:val="21"/>
              </w:rPr>
              <w:t>份</w:t>
            </w:r>
          </w:p>
        </w:tc>
      </w:tr>
    </w:tbl>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§3  </w:t>
      </w:r>
      <w:r w:rsidRPr="00A3398F">
        <w:rPr>
          <w:rFonts w:eastAsiaTheme="minorEastAsia"/>
          <w:color w:val="000000" w:themeColor="text1"/>
          <w:kern w:val="0"/>
          <w:sz w:val="24"/>
          <w:szCs w:val="24"/>
        </w:rPr>
        <w:t>主要财务指标和基金净值表现</w:t>
      </w:r>
    </w:p>
    <w:p w:rsidR="0076518F" w:rsidRPr="00A3398F" w:rsidRDefault="0076518F" w:rsidP="00506D57">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3.1 </w:t>
      </w:r>
      <w:r w:rsidRPr="00A3398F">
        <w:rPr>
          <w:rFonts w:eastAsiaTheme="minorEastAsia"/>
          <w:b/>
          <w:color w:val="000000" w:themeColor="text1"/>
          <w:kern w:val="0"/>
          <w:sz w:val="24"/>
        </w:rPr>
        <w:t>主要财务指标</w:t>
      </w:r>
    </w:p>
    <w:p w:rsidR="0076518F" w:rsidRPr="00A3398F"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5051" w:rsidRPr="00A3398F" w:rsidTr="00845292">
        <w:tc>
          <w:tcPr>
            <w:tcW w:w="3402" w:type="dxa"/>
            <w:vMerge w:val="restart"/>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主要财务指标</w:t>
            </w:r>
          </w:p>
        </w:tc>
        <w:tc>
          <w:tcPr>
            <w:tcW w:w="4962" w:type="dxa"/>
            <w:gridSpan w:val="2"/>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报告期</w:t>
            </w:r>
          </w:p>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lastRenderedPageBreak/>
              <w:t>(2024</w:t>
            </w:r>
            <w:r w:rsidRPr="00A3398F">
              <w:rPr>
                <w:rFonts w:eastAsiaTheme="minorEastAsia"/>
                <w:color w:val="000000" w:themeColor="text1"/>
                <w:szCs w:val="21"/>
              </w:rPr>
              <w:t>年</w:t>
            </w:r>
            <w:r w:rsidRPr="00A3398F">
              <w:rPr>
                <w:rFonts w:eastAsiaTheme="minorEastAsia"/>
                <w:color w:val="000000" w:themeColor="text1"/>
                <w:szCs w:val="21"/>
              </w:rPr>
              <w:t>1</w:t>
            </w:r>
            <w:r w:rsidRPr="00A3398F">
              <w:rPr>
                <w:rFonts w:eastAsiaTheme="minorEastAsia"/>
                <w:color w:val="000000" w:themeColor="text1"/>
                <w:szCs w:val="21"/>
              </w:rPr>
              <w:t>月</w:t>
            </w:r>
            <w:r w:rsidRPr="00A3398F">
              <w:rPr>
                <w:rFonts w:eastAsiaTheme="minorEastAsia"/>
                <w:color w:val="000000" w:themeColor="text1"/>
                <w:szCs w:val="21"/>
              </w:rPr>
              <w:t>1</w:t>
            </w:r>
            <w:r w:rsidRPr="00A3398F">
              <w:rPr>
                <w:rFonts w:eastAsiaTheme="minorEastAsia"/>
                <w:color w:val="000000" w:themeColor="text1"/>
                <w:szCs w:val="21"/>
              </w:rPr>
              <w:t>日</w:t>
            </w:r>
            <w:r w:rsidRPr="00A3398F">
              <w:rPr>
                <w:rFonts w:eastAsiaTheme="minorEastAsia"/>
                <w:color w:val="000000" w:themeColor="text1"/>
                <w:szCs w:val="21"/>
              </w:rPr>
              <w:t>-2024</w:t>
            </w:r>
            <w:r w:rsidRPr="00A3398F">
              <w:rPr>
                <w:rFonts w:eastAsiaTheme="minorEastAsia"/>
                <w:color w:val="000000" w:themeColor="text1"/>
                <w:szCs w:val="21"/>
              </w:rPr>
              <w:t>年</w:t>
            </w:r>
            <w:r w:rsidRPr="00A3398F">
              <w:rPr>
                <w:rFonts w:eastAsiaTheme="minorEastAsia"/>
                <w:color w:val="000000" w:themeColor="text1"/>
                <w:szCs w:val="21"/>
              </w:rPr>
              <w:t>3</w:t>
            </w:r>
            <w:r w:rsidRPr="00A3398F">
              <w:rPr>
                <w:rFonts w:eastAsiaTheme="minorEastAsia"/>
                <w:color w:val="000000" w:themeColor="text1"/>
                <w:szCs w:val="21"/>
              </w:rPr>
              <w:t>月</w:t>
            </w:r>
            <w:r w:rsidRPr="00A3398F">
              <w:rPr>
                <w:rFonts w:eastAsiaTheme="minorEastAsia"/>
                <w:color w:val="000000" w:themeColor="text1"/>
                <w:szCs w:val="21"/>
              </w:rPr>
              <w:t>31</w:t>
            </w:r>
            <w:r w:rsidRPr="00A3398F">
              <w:rPr>
                <w:rFonts w:eastAsiaTheme="minorEastAsia"/>
                <w:color w:val="000000" w:themeColor="text1"/>
                <w:szCs w:val="21"/>
              </w:rPr>
              <w:t>日</w:t>
            </w:r>
            <w:r w:rsidRPr="00A3398F">
              <w:rPr>
                <w:rFonts w:eastAsiaTheme="minorEastAsia"/>
                <w:color w:val="000000" w:themeColor="text1"/>
                <w:szCs w:val="21"/>
              </w:rPr>
              <w:t>)</w:t>
            </w:r>
          </w:p>
        </w:tc>
      </w:tr>
      <w:tr w:rsidR="00225051" w:rsidRPr="00A3398F" w:rsidTr="00845292">
        <w:tc>
          <w:tcPr>
            <w:tcW w:w="3402" w:type="dxa"/>
            <w:vMerge/>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p>
        </w:tc>
        <w:tc>
          <w:tcPr>
            <w:tcW w:w="2481" w:type="dxa"/>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摩根全球多元配置</w:t>
            </w:r>
            <w:r w:rsidRPr="00A3398F">
              <w:rPr>
                <w:rFonts w:eastAsiaTheme="minorEastAsia"/>
                <w:color w:val="000000" w:themeColor="text1"/>
                <w:szCs w:val="21"/>
              </w:rPr>
              <w:t>(QDII-FOF)</w:t>
            </w:r>
            <w:r w:rsidRPr="00A3398F">
              <w:rPr>
                <w:rFonts w:eastAsiaTheme="minorEastAsia"/>
                <w:color w:val="000000" w:themeColor="text1"/>
                <w:szCs w:val="21"/>
              </w:rPr>
              <w:t>人民币</w:t>
            </w:r>
            <w:r w:rsidRPr="00A3398F">
              <w:rPr>
                <w:rFonts w:eastAsiaTheme="minorEastAsia"/>
                <w:color w:val="000000" w:themeColor="text1"/>
                <w:szCs w:val="21"/>
              </w:rPr>
              <w:t>A</w:t>
            </w:r>
          </w:p>
        </w:tc>
        <w:tc>
          <w:tcPr>
            <w:tcW w:w="2481" w:type="dxa"/>
            <w:vAlign w:val="center"/>
          </w:tcPr>
          <w:p w:rsidR="00225051" w:rsidRPr="00A3398F" w:rsidRDefault="00225051" w:rsidP="00845292">
            <w:pPr>
              <w:adjustRightInd w:val="0"/>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摩根全球多元配置</w:t>
            </w:r>
            <w:r w:rsidRPr="00A3398F">
              <w:rPr>
                <w:rFonts w:eastAsiaTheme="minorEastAsia"/>
                <w:color w:val="000000" w:themeColor="text1"/>
                <w:szCs w:val="21"/>
              </w:rPr>
              <w:t>(QDII-FOF)</w:t>
            </w:r>
            <w:r w:rsidRPr="00A3398F">
              <w:rPr>
                <w:rFonts w:eastAsiaTheme="minorEastAsia"/>
                <w:color w:val="000000" w:themeColor="text1"/>
                <w:szCs w:val="21"/>
              </w:rPr>
              <w:t>人民币</w:t>
            </w:r>
            <w:r w:rsidRPr="00A3398F">
              <w:rPr>
                <w:rFonts w:eastAsiaTheme="minorEastAsia"/>
                <w:color w:val="000000" w:themeColor="text1"/>
                <w:szCs w:val="21"/>
              </w:rPr>
              <w:t>C</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1.</w:t>
            </w:r>
            <w:r w:rsidRPr="00A3398F">
              <w:rPr>
                <w:rFonts w:eastAsiaTheme="minorEastAsia"/>
                <w:color w:val="000000" w:themeColor="text1"/>
                <w:kern w:val="0"/>
                <w:szCs w:val="21"/>
              </w:rPr>
              <w:t>本期已实现收益</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-2,688,075.21</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-120,891.32</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2.</w:t>
            </w:r>
            <w:r w:rsidRPr="00A3398F">
              <w:rPr>
                <w:rFonts w:eastAsiaTheme="minorEastAsia"/>
                <w:color w:val="000000" w:themeColor="text1"/>
                <w:kern w:val="0"/>
                <w:szCs w:val="21"/>
              </w:rPr>
              <w:t>本期利润</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27,647,853.94</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940,629.80</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3.</w:t>
            </w:r>
            <w:r w:rsidRPr="00A3398F">
              <w:rPr>
                <w:rFonts w:eastAsiaTheme="minorEastAsia"/>
                <w:color w:val="000000" w:themeColor="text1"/>
                <w:kern w:val="0"/>
                <w:szCs w:val="21"/>
              </w:rPr>
              <w:t>加权平均基金份额本期利润</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0.0887</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0.0857</w:t>
            </w:r>
          </w:p>
        </w:tc>
      </w:tr>
      <w:tr w:rsidR="00225051" w:rsidRPr="00A3398F" w:rsidTr="00845292">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4.</w:t>
            </w:r>
            <w:r w:rsidRPr="00A3398F">
              <w:rPr>
                <w:rFonts w:eastAsiaTheme="minorEastAsia"/>
                <w:color w:val="000000" w:themeColor="text1"/>
                <w:kern w:val="0"/>
                <w:szCs w:val="21"/>
              </w:rPr>
              <w:t>期末基金资产净值</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522,191,452.65</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47,118,735.98</w:t>
            </w:r>
          </w:p>
        </w:tc>
      </w:tr>
      <w:tr w:rsidR="00225051" w:rsidRPr="00A3398F" w:rsidTr="00845292">
        <w:trPr>
          <w:trHeight w:val="158"/>
        </w:trPr>
        <w:tc>
          <w:tcPr>
            <w:tcW w:w="3402" w:type="dxa"/>
            <w:vAlign w:val="center"/>
          </w:tcPr>
          <w:p w:rsidR="00225051" w:rsidRPr="00A3398F" w:rsidRDefault="00225051" w:rsidP="00845292">
            <w:pPr>
              <w:adjustRightInd w:val="0"/>
              <w:spacing w:before="29" w:line="360" w:lineRule="auto"/>
              <w:ind w:left="17"/>
              <w:rPr>
                <w:rFonts w:eastAsiaTheme="minorEastAsia"/>
                <w:color w:val="000000" w:themeColor="text1"/>
                <w:kern w:val="0"/>
                <w:szCs w:val="21"/>
              </w:rPr>
            </w:pPr>
            <w:r w:rsidRPr="00A3398F">
              <w:rPr>
                <w:rFonts w:eastAsiaTheme="minorEastAsia"/>
                <w:color w:val="000000" w:themeColor="text1"/>
                <w:kern w:val="0"/>
                <w:szCs w:val="21"/>
              </w:rPr>
              <w:t>5.</w:t>
            </w:r>
            <w:r w:rsidRPr="00A3398F">
              <w:rPr>
                <w:rFonts w:eastAsiaTheme="minorEastAsia"/>
                <w:color w:val="000000" w:themeColor="text1"/>
                <w:kern w:val="0"/>
                <w:szCs w:val="21"/>
              </w:rPr>
              <w:t>期末基金份额净值</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1.6186</w:t>
            </w:r>
          </w:p>
        </w:tc>
        <w:tc>
          <w:tcPr>
            <w:tcW w:w="2481" w:type="dxa"/>
            <w:vAlign w:val="center"/>
          </w:tcPr>
          <w:p w:rsidR="00225051" w:rsidRPr="00A3398F" w:rsidRDefault="00225051" w:rsidP="00845292">
            <w:pPr>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1.6273</w:t>
            </w:r>
          </w:p>
        </w:tc>
      </w:tr>
    </w:tbl>
    <w:p w:rsidR="00233BAF" w:rsidRDefault="00857069">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7D1292" w:rsidRPr="00A3398F" w:rsidRDefault="007D1292"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3.2 </w:t>
      </w:r>
      <w:r w:rsidRPr="00A3398F">
        <w:rPr>
          <w:rFonts w:eastAsiaTheme="minorEastAsia"/>
          <w:b/>
          <w:color w:val="000000" w:themeColor="text1"/>
          <w:kern w:val="0"/>
          <w:sz w:val="24"/>
        </w:rPr>
        <w:t>基金净值表现</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3398F">
          <w:rPr>
            <w:rFonts w:eastAsiaTheme="minorEastAsia"/>
            <w:b/>
            <w:color w:val="000000" w:themeColor="text1"/>
            <w:kern w:val="0"/>
            <w:sz w:val="24"/>
          </w:rPr>
          <w:t>3.2.1</w:t>
        </w:r>
      </w:smartTag>
      <w:r w:rsidRPr="00A3398F">
        <w:rPr>
          <w:rFonts w:eastAsiaTheme="minorEastAsia"/>
          <w:b/>
          <w:color w:val="000000" w:themeColor="text1"/>
          <w:kern w:val="0"/>
          <w:sz w:val="24"/>
        </w:rPr>
        <w:t>本报告期基金份额净值增长率及其与同期业绩比较基准收益率的比较</w:t>
      </w:r>
    </w:p>
    <w:p w:rsidR="0065601A" w:rsidRPr="00A3398F" w:rsidRDefault="0065601A" w:rsidP="0065601A">
      <w:pPr>
        <w:spacing w:line="360" w:lineRule="auto"/>
        <w:rPr>
          <w:rFonts w:eastAsiaTheme="minorEastAsia"/>
          <w:b/>
          <w:color w:val="000000" w:themeColor="text1"/>
          <w:szCs w:val="21"/>
        </w:rPr>
      </w:pPr>
      <w:r w:rsidRPr="00A3398F">
        <w:rPr>
          <w:rFonts w:eastAsiaTheme="minorEastAsia"/>
          <w:b/>
          <w:color w:val="000000" w:themeColor="text1"/>
          <w:szCs w:val="21"/>
        </w:rPr>
        <w:t>1</w:t>
      </w:r>
      <w:r w:rsidRPr="00A3398F">
        <w:rPr>
          <w:rFonts w:eastAsiaTheme="minorEastAsia"/>
          <w:b/>
          <w:color w:val="000000" w:themeColor="text1"/>
          <w:szCs w:val="21"/>
        </w:rPr>
        <w:t>、</w:t>
      </w:r>
      <w:r w:rsidRPr="00A3398F">
        <w:rPr>
          <w:rFonts w:eastAsiaTheme="minorEastAsia"/>
          <w:b/>
          <w:color w:val="000000" w:themeColor="text1"/>
          <w:kern w:val="0"/>
          <w:szCs w:val="21"/>
        </w:rPr>
        <w:t>摩根全球多元配置</w:t>
      </w:r>
      <w:r w:rsidRPr="00A3398F">
        <w:rPr>
          <w:rFonts w:eastAsiaTheme="minorEastAsia"/>
          <w:b/>
          <w:color w:val="000000" w:themeColor="text1"/>
          <w:kern w:val="0"/>
          <w:szCs w:val="21"/>
        </w:rPr>
        <w:t>(QDII-FOF)</w:t>
      </w:r>
      <w:r w:rsidRPr="00A3398F">
        <w:rPr>
          <w:rFonts w:eastAsiaTheme="minorEastAsia"/>
          <w:b/>
          <w:color w:val="000000" w:themeColor="text1"/>
          <w:kern w:val="0"/>
          <w:szCs w:val="21"/>
        </w:rPr>
        <w:t>人民币</w:t>
      </w:r>
      <w:r w:rsidRPr="00A3398F">
        <w:rPr>
          <w:rFonts w:eastAsiaTheme="minorEastAsia"/>
          <w:b/>
          <w:color w:val="000000" w:themeColor="text1"/>
          <w:kern w:val="0"/>
          <w:szCs w:val="21"/>
        </w:rPr>
        <w:t>A</w:t>
      </w:r>
      <w:r w:rsidRPr="00A3398F">
        <w:rPr>
          <w:rFonts w:eastAsiaTheme="minorEastAsia"/>
          <w:b/>
          <w:color w:val="000000" w:themeColor="text1"/>
          <w:szCs w:val="21"/>
        </w:rPr>
        <w:t>：</w:t>
      </w:r>
    </w:p>
    <w:tbl>
      <w:tblPr>
        <w:tblStyle w:val="afa"/>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601A" w:rsidRPr="00A3398F" w:rsidTr="00845292">
        <w:tc>
          <w:tcPr>
            <w:tcW w:w="1290"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阶段</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净值增长率</w:t>
            </w:r>
            <w:r w:rsidRPr="00A3398F">
              <w:rPr>
                <w:rFonts w:ascii="宋体" w:hAnsi="宋体" w:cs="宋体" w:hint="eastAsia"/>
                <w:color w:val="000000" w:themeColor="text1"/>
                <w:szCs w:val="21"/>
              </w:rPr>
              <w:t>①</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净值增长率标准差</w:t>
            </w:r>
            <w:r w:rsidRPr="00A3398F">
              <w:rPr>
                <w:rFonts w:ascii="宋体" w:hAnsi="宋体" w:cs="宋体" w:hint="eastAsia"/>
                <w:color w:val="000000" w:themeColor="text1"/>
                <w:szCs w:val="21"/>
              </w:rPr>
              <w:t>②</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业绩比较基准收益率标准差</w:t>
            </w:r>
            <w:r w:rsidRPr="00A3398F">
              <w:rPr>
                <w:rFonts w:ascii="宋体" w:hAnsi="宋体" w:cs="宋体" w:hint="eastAsia"/>
                <w:color w:val="000000" w:themeColor="text1"/>
                <w:szCs w:val="21"/>
              </w:rPr>
              <w:t>④</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①</w:t>
            </w:r>
            <w:r w:rsidRPr="00A3398F">
              <w:rPr>
                <w:rFonts w:eastAsiaTheme="minorEastAsia"/>
                <w:color w:val="000000" w:themeColor="text1"/>
                <w:szCs w:val="21"/>
              </w:rPr>
              <w:t>－</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②</w:t>
            </w:r>
            <w:r w:rsidRPr="00A3398F">
              <w:rPr>
                <w:rFonts w:eastAsiaTheme="minorEastAsia"/>
                <w:color w:val="000000" w:themeColor="text1"/>
                <w:szCs w:val="21"/>
              </w:rPr>
              <w:t>－</w:t>
            </w:r>
            <w:r w:rsidRPr="00A3398F">
              <w:rPr>
                <w:rFonts w:ascii="宋体" w:hAnsi="宋体" w:cs="宋体" w:hint="eastAsia"/>
                <w:color w:val="000000" w:themeColor="text1"/>
                <w:szCs w:val="21"/>
              </w:rPr>
              <w:t>④</w:t>
            </w:r>
          </w:p>
        </w:tc>
      </w:tr>
      <w:tr w:rsidR="00233BAF">
        <w:tc>
          <w:tcPr>
            <w:tcW w:w="1290" w:type="dxa"/>
            <w:vAlign w:val="center"/>
          </w:tcPr>
          <w:p w:rsidR="00233BAF" w:rsidRDefault="00857069">
            <w:pPr>
              <w:jc w:val="left"/>
            </w:pPr>
            <w:r>
              <w:rPr>
                <w:rFonts w:eastAsiaTheme="minorEastAsia"/>
                <w:color w:val="000000" w:themeColor="text1"/>
                <w:szCs w:val="21"/>
              </w:rPr>
              <w:t>过去三个月</w:t>
            </w:r>
          </w:p>
        </w:tc>
        <w:tc>
          <w:tcPr>
            <w:tcW w:w="1291" w:type="dxa"/>
            <w:vAlign w:val="center"/>
          </w:tcPr>
          <w:p w:rsidR="00233BAF" w:rsidRDefault="00857069">
            <w:pPr>
              <w:jc w:val="right"/>
            </w:pPr>
            <w:r>
              <w:rPr>
                <w:rFonts w:eastAsiaTheme="minorEastAsia"/>
                <w:color w:val="000000" w:themeColor="text1"/>
                <w:szCs w:val="21"/>
              </w:rPr>
              <w:t>5.80%</w:t>
            </w:r>
          </w:p>
        </w:tc>
        <w:tc>
          <w:tcPr>
            <w:tcW w:w="1291" w:type="dxa"/>
            <w:vAlign w:val="center"/>
          </w:tcPr>
          <w:p w:rsidR="00233BAF" w:rsidRDefault="00857069">
            <w:pPr>
              <w:jc w:val="right"/>
            </w:pPr>
            <w:r>
              <w:rPr>
                <w:rFonts w:eastAsiaTheme="minorEastAsia"/>
                <w:color w:val="000000" w:themeColor="text1"/>
                <w:szCs w:val="21"/>
              </w:rPr>
              <w:t>0.37%</w:t>
            </w:r>
          </w:p>
        </w:tc>
        <w:tc>
          <w:tcPr>
            <w:tcW w:w="1291" w:type="dxa"/>
            <w:vAlign w:val="center"/>
          </w:tcPr>
          <w:p w:rsidR="00233BAF" w:rsidRDefault="00857069">
            <w:pPr>
              <w:jc w:val="right"/>
            </w:pPr>
            <w:r>
              <w:rPr>
                <w:rFonts w:eastAsiaTheme="minorEastAsia"/>
                <w:color w:val="000000" w:themeColor="text1"/>
                <w:szCs w:val="21"/>
              </w:rPr>
              <w:t>6.07%</w:t>
            </w:r>
          </w:p>
        </w:tc>
        <w:tc>
          <w:tcPr>
            <w:tcW w:w="1291" w:type="dxa"/>
            <w:vAlign w:val="center"/>
          </w:tcPr>
          <w:p w:rsidR="00233BAF" w:rsidRDefault="00857069">
            <w:pPr>
              <w:jc w:val="right"/>
            </w:pPr>
            <w:r>
              <w:rPr>
                <w:rFonts w:eastAsiaTheme="minorEastAsia"/>
                <w:color w:val="000000" w:themeColor="text1"/>
                <w:szCs w:val="21"/>
              </w:rPr>
              <w:t>0.45%</w:t>
            </w:r>
          </w:p>
        </w:tc>
        <w:tc>
          <w:tcPr>
            <w:tcW w:w="1291" w:type="dxa"/>
            <w:vAlign w:val="center"/>
          </w:tcPr>
          <w:p w:rsidR="00233BAF" w:rsidRDefault="00857069">
            <w:pPr>
              <w:jc w:val="right"/>
            </w:pPr>
            <w:r>
              <w:rPr>
                <w:rFonts w:eastAsiaTheme="minorEastAsia"/>
                <w:color w:val="000000" w:themeColor="text1"/>
                <w:szCs w:val="21"/>
              </w:rPr>
              <w:t>-0.27%</w:t>
            </w:r>
          </w:p>
        </w:tc>
        <w:tc>
          <w:tcPr>
            <w:tcW w:w="1291" w:type="dxa"/>
            <w:vAlign w:val="center"/>
          </w:tcPr>
          <w:p w:rsidR="00233BAF" w:rsidRDefault="00857069">
            <w:pPr>
              <w:jc w:val="right"/>
            </w:pPr>
            <w:r>
              <w:rPr>
                <w:rFonts w:eastAsiaTheme="minorEastAsia"/>
                <w:color w:val="000000" w:themeColor="text1"/>
                <w:szCs w:val="21"/>
              </w:rPr>
              <w:t>-0.08%</w:t>
            </w:r>
          </w:p>
        </w:tc>
      </w:tr>
      <w:tr w:rsidR="00233BAF">
        <w:tc>
          <w:tcPr>
            <w:tcW w:w="1290" w:type="dxa"/>
            <w:vAlign w:val="center"/>
          </w:tcPr>
          <w:p w:rsidR="00233BAF" w:rsidRDefault="00857069">
            <w:pPr>
              <w:jc w:val="left"/>
            </w:pPr>
            <w:r>
              <w:rPr>
                <w:rFonts w:eastAsiaTheme="minorEastAsia"/>
                <w:color w:val="000000" w:themeColor="text1"/>
                <w:szCs w:val="21"/>
              </w:rPr>
              <w:t>过去六个月</w:t>
            </w:r>
          </w:p>
        </w:tc>
        <w:tc>
          <w:tcPr>
            <w:tcW w:w="1291" w:type="dxa"/>
            <w:vAlign w:val="center"/>
          </w:tcPr>
          <w:p w:rsidR="00233BAF" w:rsidRDefault="00857069">
            <w:pPr>
              <w:jc w:val="right"/>
            </w:pPr>
            <w:r>
              <w:rPr>
                <w:rFonts w:eastAsiaTheme="minorEastAsia"/>
                <w:color w:val="000000" w:themeColor="text1"/>
                <w:szCs w:val="21"/>
              </w:rPr>
              <w:t>11.80%</w:t>
            </w:r>
          </w:p>
        </w:tc>
        <w:tc>
          <w:tcPr>
            <w:tcW w:w="1291" w:type="dxa"/>
            <w:vAlign w:val="center"/>
          </w:tcPr>
          <w:p w:rsidR="00233BAF" w:rsidRDefault="00857069">
            <w:pPr>
              <w:jc w:val="right"/>
            </w:pPr>
            <w:r>
              <w:rPr>
                <w:rFonts w:eastAsiaTheme="minorEastAsia"/>
                <w:color w:val="000000" w:themeColor="text1"/>
                <w:szCs w:val="21"/>
              </w:rPr>
              <w:t>0.42%</w:t>
            </w:r>
          </w:p>
        </w:tc>
        <w:tc>
          <w:tcPr>
            <w:tcW w:w="1291" w:type="dxa"/>
            <w:vAlign w:val="center"/>
          </w:tcPr>
          <w:p w:rsidR="00233BAF" w:rsidRDefault="00857069">
            <w:pPr>
              <w:jc w:val="right"/>
            </w:pPr>
            <w:r>
              <w:rPr>
                <w:rFonts w:eastAsiaTheme="minorEastAsia"/>
                <w:color w:val="000000" w:themeColor="text1"/>
                <w:szCs w:val="21"/>
              </w:rPr>
              <w:t>15.26%</w:t>
            </w:r>
          </w:p>
        </w:tc>
        <w:tc>
          <w:tcPr>
            <w:tcW w:w="1291" w:type="dxa"/>
            <w:vAlign w:val="center"/>
          </w:tcPr>
          <w:p w:rsidR="00233BAF" w:rsidRDefault="00857069">
            <w:pPr>
              <w:jc w:val="right"/>
            </w:pPr>
            <w:r>
              <w:rPr>
                <w:rFonts w:eastAsiaTheme="minorEastAsia"/>
                <w:color w:val="000000" w:themeColor="text1"/>
                <w:szCs w:val="21"/>
              </w:rPr>
              <w:t>0.52%</w:t>
            </w:r>
          </w:p>
        </w:tc>
        <w:tc>
          <w:tcPr>
            <w:tcW w:w="1291" w:type="dxa"/>
            <w:vAlign w:val="center"/>
          </w:tcPr>
          <w:p w:rsidR="00233BAF" w:rsidRDefault="00857069">
            <w:pPr>
              <w:jc w:val="right"/>
            </w:pPr>
            <w:r>
              <w:rPr>
                <w:rFonts w:eastAsiaTheme="minorEastAsia"/>
                <w:color w:val="000000" w:themeColor="text1"/>
                <w:szCs w:val="21"/>
              </w:rPr>
              <w:t>-3.46%</w:t>
            </w:r>
          </w:p>
        </w:tc>
        <w:tc>
          <w:tcPr>
            <w:tcW w:w="1291" w:type="dxa"/>
            <w:vAlign w:val="center"/>
          </w:tcPr>
          <w:p w:rsidR="00233BAF" w:rsidRDefault="00857069">
            <w:pPr>
              <w:jc w:val="right"/>
            </w:pPr>
            <w:r>
              <w:rPr>
                <w:rFonts w:eastAsiaTheme="minorEastAsia"/>
                <w:color w:val="000000" w:themeColor="text1"/>
                <w:szCs w:val="21"/>
              </w:rPr>
              <w:t>-0.10%</w:t>
            </w:r>
          </w:p>
        </w:tc>
      </w:tr>
      <w:tr w:rsidR="00233BAF">
        <w:tc>
          <w:tcPr>
            <w:tcW w:w="1290" w:type="dxa"/>
            <w:vAlign w:val="center"/>
          </w:tcPr>
          <w:p w:rsidR="00233BAF" w:rsidRDefault="00857069">
            <w:pPr>
              <w:jc w:val="left"/>
            </w:pPr>
            <w:r>
              <w:rPr>
                <w:rFonts w:eastAsiaTheme="minorEastAsia"/>
                <w:color w:val="000000" w:themeColor="text1"/>
                <w:szCs w:val="21"/>
              </w:rPr>
              <w:t>过去一年</w:t>
            </w:r>
          </w:p>
        </w:tc>
        <w:tc>
          <w:tcPr>
            <w:tcW w:w="1291" w:type="dxa"/>
            <w:vAlign w:val="center"/>
          </w:tcPr>
          <w:p w:rsidR="00233BAF" w:rsidRDefault="00857069">
            <w:pPr>
              <w:jc w:val="right"/>
            </w:pPr>
            <w:r>
              <w:rPr>
                <w:rFonts w:eastAsiaTheme="minorEastAsia"/>
                <w:color w:val="000000" w:themeColor="text1"/>
                <w:szCs w:val="21"/>
              </w:rPr>
              <w:t>17.63%</w:t>
            </w:r>
          </w:p>
        </w:tc>
        <w:tc>
          <w:tcPr>
            <w:tcW w:w="1291" w:type="dxa"/>
            <w:vAlign w:val="center"/>
          </w:tcPr>
          <w:p w:rsidR="00233BAF" w:rsidRDefault="00857069">
            <w:pPr>
              <w:jc w:val="right"/>
            </w:pPr>
            <w:r>
              <w:rPr>
                <w:rFonts w:eastAsiaTheme="minorEastAsia"/>
                <w:color w:val="000000" w:themeColor="text1"/>
                <w:szCs w:val="21"/>
              </w:rPr>
              <w:t>0.44%</w:t>
            </w:r>
          </w:p>
        </w:tc>
        <w:tc>
          <w:tcPr>
            <w:tcW w:w="1291" w:type="dxa"/>
            <w:vAlign w:val="center"/>
          </w:tcPr>
          <w:p w:rsidR="00233BAF" w:rsidRDefault="00857069">
            <w:pPr>
              <w:jc w:val="right"/>
            </w:pPr>
            <w:r>
              <w:rPr>
                <w:rFonts w:eastAsiaTheme="minorEastAsia"/>
                <w:color w:val="000000" w:themeColor="text1"/>
                <w:szCs w:val="21"/>
              </w:rPr>
              <w:t>20.95%</w:t>
            </w:r>
          </w:p>
        </w:tc>
        <w:tc>
          <w:tcPr>
            <w:tcW w:w="1291" w:type="dxa"/>
            <w:vAlign w:val="center"/>
          </w:tcPr>
          <w:p w:rsidR="00233BAF" w:rsidRDefault="00857069">
            <w:pPr>
              <w:jc w:val="right"/>
            </w:pPr>
            <w:r>
              <w:rPr>
                <w:rFonts w:eastAsiaTheme="minorEastAsia"/>
                <w:color w:val="000000" w:themeColor="text1"/>
                <w:szCs w:val="21"/>
              </w:rPr>
              <w:t>0.54%</w:t>
            </w:r>
          </w:p>
        </w:tc>
        <w:tc>
          <w:tcPr>
            <w:tcW w:w="1291" w:type="dxa"/>
            <w:vAlign w:val="center"/>
          </w:tcPr>
          <w:p w:rsidR="00233BAF" w:rsidRDefault="00857069">
            <w:pPr>
              <w:jc w:val="right"/>
            </w:pPr>
            <w:r>
              <w:rPr>
                <w:rFonts w:eastAsiaTheme="minorEastAsia"/>
                <w:color w:val="000000" w:themeColor="text1"/>
                <w:szCs w:val="21"/>
              </w:rPr>
              <w:t>-3.32%</w:t>
            </w:r>
          </w:p>
        </w:tc>
        <w:tc>
          <w:tcPr>
            <w:tcW w:w="1291" w:type="dxa"/>
            <w:vAlign w:val="center"/>
          </w:tcPr>
          <w:p w:rsidR="00233BAF" w:rsidRDefault="00857069">
            <w:pPr>
              <w:jc w:val="right"/>
            </w:pPr>
            <w:r>
              <w:rPr>
                <w:rFonts w:eastAsiaTheme="minorEastAsia"/>
                <w:color w:val="000000" w:themeColor="text1"/>
                <w:szCs w:val="21"/>
              </w:rPr>
              <w:t>-0.10%</w:t>
            </w:r>
          </w:p>
        </w:tc>
      </w:tr>
      <w:tr w:rsidR="00233BAF">
        <w:tc>
          <w:tcPr>
            <w:tcW w:w="1290" w:type="dxa"/>
            <w:vAlign w:val="center"/>
          </w:tcPr>
          <w:p w:rsidR="00233BAF" w:rsidRDefault="00857069">
            <w:pPr>
              <w:jc w:val="left"/>
            </w:pPr>
            <w:r>
              <w:rPr>
                <w:rFonts w:eastAsiaTheme="minorEastAsia"/>
                <w:color w:val="000000" w:themeColor="text1"/>
                <w:szCs w:val="21"/>
              </w:rPr>
              <w:t>过去三年</w:t>
            </w:r>
          </w:p>
        </w:tc>
        <w:tc>
          <w:tcPr>
            <w:tcW w:w="1291" w:type="dxa"/>
            <w:vAlign w:val="center"/>
          </w:tcPr>
          <w:p w:rsidR="00233BAF" w:rsidRDefault="00857069">
            <w:pPr>
              <w:jc w:val="right"/>
            </w:pPr>
            <w:r>
              <w:rPr>
                <w:rFonts w:eastAsiaTheme="minorEastAsia"/>
                <w:color w:val="000000" w:themeColor="text1"/>
                <w:szCs w:val="21"/>
              </w:rPr>
              <w:t>14.39%</w:t>
            </w:r>
          </w:p>
        </w:tc>
        <w:tc>
          <w:tcPr>
            <w:tcW w:w="1291" w:type="dxa"/>
            <w:vAlign w:val="center"/>
          </w:tcPr>
          <w:p w:rsidR="00233BAF" w:rsidRDefault="00857069">
            <w:pPr>
              <w:jc w:val="right"/>
            </w:pPr>
            <w:r>
              <w:rPr>
                <w:rFonts w:eastAsiaTheme="minorEastAsia"/>
                <w:color w:val="000000" w:themeColor="text1"/>
                <w:szCs w:val="21"/>
              </w:rPr>
              <w:t>0.63%</w:t>
            </w:r>
          </w:p>
        </w:tc>
        <w:tc>
          <w:tcPr>
            <w:tcW w:w="1291" w:type="dxa"/>
            <w:vAlign w:val="center"/>
          </w:tcPr>
          <w:p w:rsidR="00233BAF" w:rsidRDefault="00857069">
            <w:pPr>
              <w:jc w:val="right"/>
            </w:pPr>
            <w:r>
              <w:rPr>
                <w:rFonts w:eastAsiaTheme="minorEastAsia"/>
                <w:color w:val="000000" w:themeColor="text1"/>
                <w:szCs w:val="21"/>
              </w:rPr>
              <w:t>19.24%</w:t>
            </w:r>
          </w:p>
        </w:tc>
        <w:tc>
          <w:tcPr>
            <w:tcW w:w="1291" w:type="dxa"/>
            <w:vAlign w:val="center"/>
          </w:tcPr>
          <w:p w:rsidR="00233BAF" w:rsidRDefault="00857069">
            <w:pPr>
              <w:jc w:val="right"/>
            </w:pPr>
            <w:r>
              <w:rPr>
                <w:rFonts w:eastAsiaTheme="minorEastAsia"/>
                <w:color w:val="000000" w:themeColor="text1"/>
                <w:szCs w:val="21"/>
              </w:rPr>
              <w:t>0.77%</w:t>
            </w:r>
          </w:p>
        </w:tc>
        <w:tc>
          <w:tcPr>
            <w:tcW w:w="1291" w:type="dxa"/>
            <w:vAlign w:val="center"/>
          </w:tcPr>
          <w:p w:rsidR="00233BAF" w:rsidRDefault="00857069">
            <w:pPr>
              <w:jc w:val="right"/>
            </w:pPr>
            <w:r>
              <w:rPr>
                <w:rFonts w:eastAsiaTheme="minorEastAsia"/>
                <w:color w:val="000000" w:themeColor="text1"/>
                <w:szCs w:val="21"/>
              </w:rPr>
              <w:t>-4.85%</w:t>
            </w:r>
          </w:p>
        </w:tc>
        <w:tc>
          <w:tcPr>
            <w:tcW w:w="1291" w:type="dxa"/>
            <w:vAlign w:val="center"/>
          </w:tcPr>
          <w:p w:rsidR="00233BAF" w:rsidRDefault="00857069">
            <w:pPr>
              <w:jc w:val="right"/>
            </w:pPr>
            <w:r>
              <w:rPr>
                <w:rFonts w:eastAsiaTheme="minorEastAsia"/>
                <w:color w:val="000000" w:themeColor="text1"/>
                <w:szCs w:val="21"/>
              </w:rPr>
              <w:t>-0.14%</w:t>
            </w:r>
          </w:p>
        </w:tc>
      </w:tr>
      <w:tr w:rsidR="00233BAF">
        <w:tc>
          <w:tcPr>
            <w:tcW w:w="1290" w:type="dxa"/>
            <w:vAlign w:val="center"/>
          </w:tcPr>
          <w:p w:rsidR="00233BAF" w:rsidRDefault="00857069">
            <w:pPr>
              <w:jc w:val="left"/>
            </w:pPr>
            <w:r>
              <w:rPr>
                <w:rFonts w:eastAsiaTheme="minorEastAsia"/>
                <w:color w:val="000000" w:themeColor="text1"/>
                <w:szCs w:val="21"/>
              </w:rPr>
              <w:t>过去五年</w:t>
            </w:r>
          </w:p>
        </w:tc>
        <w:tc>
          <w:tcPr>
            <w:tcW w:w="1291" w:type="dxa"/>
            <w:vAlign w:val="center"/>
          </w:tcPr>
          <w:p w:rsidR="00233BAF" w:rsidRDefault="00857069">
            <w:pPr>
              <w:jc w:val="right"/>
            </w:pPr>
            <w:r>
              <w:rPr>
                <w:rFonts w:eastAsiaTheme="minorEastAsia"/>
                <w:color w:val="000000" w:themeColor="text1"/>
                <w:szCs w:val="21"/>
              </w:rPr>
              <w:t>40.14%</w:t>
            </w:r>
          </w:p>
        </w:tc>
        <w:tc>
          <w:tcPr>
            <w:tcW w:w="1291" w:type="dxa"/>
            <w:vAlign w:val="center"/>
          </w:tcPr>
          <w:p w:rsidR="00233BAF" w:rsidRDefault="00857069">
            <w:pPr>
              <w:jc w:val="right"/>
            </w:pPr>
            <w:r>
              <w:rPr>
                <w:rFonts w:eastAsiaTheme="minorEastAsia"/>
                <w:color w:val="000000" w:themeColor="text1"/>
                <w:szCs w:val="21"/>
              </w:rPr>
              <w:t>0.71%</w:t>
            </w:r>
          </w:p>
        </w:tc>
        <w:tc>
          <w:tcPr>
            <w:tcW w:w="1291" w:type="dxa"/>
            <w:vAlign w:val="center"/>
          </w:tcPr>
          <w:p w:rsidR="00233BAF" w:rsidRDefault="00857069">
            <w:pPr>
              <w:jc w:val="right"/>
            </w:pPr>
            <w:r>
              <w:rPr>
                <w:rFonts w:eastAsiaTheme="minorEastAsia"/>
                <w:color w:val="000000" w:themeColor="text1"/>
                <w:szCs w:val="21"/>
              </w:rPr>
              <w:t>48.79%</w:t>
            </w:r>
          </w:p>
        </w:tc>
        <w:tc>
          <w:tcPr>
            <w:tcW w:w="1291" w:type="dxa"/>
            <w:vAlign w:val="center"/>
          </w:tcPr>
          <w:p w:rsidR="00233BAF" w:rsidRDefault="00857069">
            <w:pPr>
              <w:jc w:val="right"/>
            </w:pPr>
            <w:r>
              <w:rPr>
                <w:rFonts w:eastAsiaTheme="minorEastAsia"/>
                <w:color w:val="000000" w:themeColor="text1"/>
                <w:szCs w:val="21"/>
              </w:rPr>
              <w:t>0.92%</w:t>
            </w:r>
          </w:p>
        </w:tc>
        <w:tc>
          <w:tcPr>
            <w:tcW w:w="1291" w:type="dxa"/>
            <w:vAlign w:val="center"/>
          </w:tcPr>
          <w:p w:rsidR="00233BAF" w:rsidRDefault="00857069">
            <w:pPr>
              <w:jc w:val="right"/>
            </w:pPr>
            <w:r>
              <w:rPr>
                <w:rFonts w:eastAsiaTheme="minorEastAsia"/>
                <w:color w:val="000000" w:themeColor="text1"/>
                <w:szCs w:val="21"/>
              </w:rPr>
              <w:t>-8.65%</w:t>
            </w:r>
          </w:p>
        </w:tc>
        <w:tc>
          <w:tcPr>
            <w:tcW w:w="1291" w:type="dxa"/>
            <w:vAlign w:val="center"/>
          </w:tcPr>
          <w:p w:rsidR="00233BAF" w:rsidRDefault="00857069">
            <w:pPr>
              <w:jc w:val="right"/>
            </w:pPr>
            <w:r>
              <w:rPr>
                <w:rFonts w:eastAsiaTheme="minorEastAsia"/>
                <w:color w:val="000000" w:themeColor="text1"/>
                <w:szCs w:val="21"/>
              </w:rPr>
              <w:t>-0.21%</w:t>
            </w:r>
          </w:p>
        </w:tc>
      </w:tr>
      <w:tr w:rsidR="00233BAF">
        <w:tc>
          <w:tcPr>
            <w:tcW w:w="1290" w:type="dxa"/>
            <w:vAlign w:val="center"/>
          </w:tcPr>
          <w:p w:rsidR="00233BAF" w:rsidRDefault="00857069">
            <w:pPr>
              <w:jc w:val="left"/>
            </w:pPr>
            <w:r>
              <w:rPr>
                <w:rFonts w:eastAsiaTheme="minorEastAsia"/>
                <w:color w:val="000000" w:themeColor="text1"/>
                <w:szCs w:val="21"/>
              </w:rPr>
              <w:t>自基金合同生效起至今</w:t>
            </w:r>
          </w:p>
        </w:tc>
        <w:tc>
          <w:tcPr>
            <w:tcW w:w="1291" w:type="dxa"/>
            <w:vAlign w:val="center"/>
          </w:tcPr>
          <w:p w:rsidR="00233BAF" w:rsidRDefault="00857069">
            <w:pPr>
              <w:jc w:val="right"/>
            </w:pPr>
            <w:r>
              <w:rPr>
                <w:rFonts w:eastAsiaTheme="minorEastAsia"/>
                <w:color w:val="000000" w:themeColor="text1"/>
                <w:szCs w:val="21"/>
              </w:rPr>
              <w:t>61.86%</w:t>
            </w:r>
          </w:p>
        </w:tc>
        <w:tc>
          <w:tcPr>
            <w:tcW w:w="1291" w:type="dxa"/>
            <w:vAlign w:val="center"/>
          </w:tcPr>
          <w:p w:rsidR="00233BAF" w:rsidRDefault="00857069">
            <w:pPr>
              <w:jc w:val="right"/>
            </w:pPr>
            <w:r>
              <w:rPr>
                <w:rFonts w:eastAsiaTheme="minorEastAsia"/>
                <w:color w:val="000000" w:themeColor="text1"/>
                <w:szCs w:val="21"/>
              </w:rPr>
              <w:t>0.68%</w:t>
            </w:r>
          </w:p>
        </w:tc>
        <w:tc>
          <w:tcPr>
            <w:tcW w:w="1291" w:type="dxa"/>
            <w:vAlign w:val="center"/>
          </w:tcPr>
          <w:p w:rsidR="00233BAF" w:rsidRDefault="00857069">
            <w:pPr>
              <w:jc w:val="right"/>
            </w:pPr>
            <w:r>
              <w:rPr>
                <w:rFonts w:eastAsiaTheme="minorEastAsia"/>
                <w:color w:val="000000" w:themeColor="text1"/>
                <w:szCs w:val="21"/>
              </w:rPr>
              <w:t>71.09%</w:t>
            </w:r>
          </w:p>
        </w:tc>
        <w:tc>
          <w:tcPr>
            <w:tcW w:w="1291" w:type="dxa"/>
            <w:vAlign w:val="center"/>
          </w:tcPr>
          <w:p w:rsidR="00233BAF" w:rsidRDefault="00857069">
            <w:pPr>
              <w:jc w:val="right"/>
            </w:pPr>
            <w:r>
              <w:rPr>
                <w:rFonts w:eastAsiaTheme="minorEastAsia"/>
                <w:color w:val="000000" w:themeColor="text1"/>
                <w:szCs w:val="21"/>
              </w:rPr>
              <w:t>0.82%</w:t>
            </w:r>
          </w:p>
        </w:tc>
        <w:tc>
          <w:tcPr>
            <w:tcW w:w="1291" w:type="dxa"/>
            <w:vAlign w:val="center"/>
          </w:tcPr>
          <w:p w:rsidR="00233BAF" w:rsidRDefault="00857069">
            <w:pPr>
              <w:jc w:val="right"/>
            </w:pPr>
            <w:r>
              <w:rPr>
                <w:rFonts w:eastAsiaTheme="minorEastAsia"/>
                <w:color w:val="000000" w:themeColor="text1"/>
                <w:szCs w:val="21"/>
              </w:rPr>
              <w:t>-9.23%</w:t>
            </w:r>
          </w:p>
        </w:tc>
        <w:tc>
          <w:tcPr>
            <w:tcW w:w="1291" w:type="dxa"/>
            <w:vAlign w:val="center"/>
          </w:tcPr>
          <w:p w:rsidR="00233BAF" w:rsidRDefault="00857069">
            <w:pPr>
              <w:jc w:val="right"/>
            </w:pPr>
            <w:r>
              <w:rPr>
                <w:rFonts w:eastAsiaTheme="minorEastAsia"/>
                <w:color w:val="000000" w:themeColor="text1"/>
                <w:szCs w:val="21"/>
              </w:rPr>
              <w:t>-0.14%</w:t>
            </w:r>
          </w:p>
        </w:tc>
      </w:tr>
    </w:tbl>
    <w:p w:rsidR="0065601A" w:rsidRPr="00A3398F" w:rsidRDefault="0065601A" w:rsidP="009E705F">
      <w:pPr>
        <w:adjustRightInd w:val="0"/>
        <w:spacing w:beforeLines="50" w:before="156" w:line="360" w:lineRule="auto"/>
        <w:rPr>
          <w:rFonts w:eastAsiaTheme="minorEastAsia"/>
          <w:b/>
          <w:color w:val="000000" w:themeColor="text1"/>
          <w:kern w:val="0"/>
          <w:szCs w:val="21"/>
        </w:rPr>
      </w:pPr>
      <w:r w:rsidRPr="00A3398F">
        <w:rPr>
          <w:rFonts w:eastAsiaTheme="minorEastAsia"/>
          <w:b/>
          <w:color w:val="000000" w:themeColor="text1"/>
          <w:szCs w:val="21"/>
        </w:rPr>
        <w:t>2</w:t>
      </w:r>
      <w:r w:rsidRPr="00A3398F">
        <w:rPr>
          <w:rFonts w:eastAsiaTheme="minorEastAsia"/>
          <w:b/>
          <w:color w:val="000000" w:themeColor="text1"/>
          <w:szCs w:val="21"/>
        </w:rPr>
        <w:t>、</w:t>
      </w:r>
      <w:r w:rsidRPr="00A3398F">
        <w:rPr>
          <w:rFonts w:eastAsiaTheme="minorEastAsia"/>
          <w:b/>
          <w:color w:val="000000" w:themeColor="text1"/>
          <w:kern w:val="0"/>
          <w:szCs w:val="21"/>
        </w:rPr>
        <w:t>摩根全球多元配置</w:t>
      </w:r>
      <w:r w:rsidRPr="00A3398F">
        <w:rPr>
          <w:rFonts w:eastAsiaTheme="minorEastAsia"/>
          <w:b/>
          <w:color w:val="000000" w:themeColor="text1"/>
          <w:kern w:val="0"/>
          <w:szCs w:val="21"/>
        </w:rPr>
        <w:t>(QDII-FOF)</w:t>
      </w:r>
      <w:r w:rsidRPr="00A3398F">
        <w:rPr>
          <w:rFonts w:eastAsiaTheme="minorEastAsia"/>
          <w:b/>
          <w:color w:val="000000" w:themeColor="text1"/>
          <w:kern w:val="0"/>
          <w:szCs w:val="21"/>
        </w:rPr>
        <w:t>人民币</w:t>
      </w:r>
      <w:r w:rsidRPr="00A3398F">
        <w:rPr>
          <w:rFonts w:eastAsiaTheme="minorEastAsia"/>
          <w:b/>
          <w:color w:val="000000" w:themeColor="text1"/>
          <w:kern w:val="0"/>
          <w:szCs w:val="21"/>
        </w:rPr>
        <w:t>C</w:t>
      </w:r>
      <w:r w:rsidRPr="00A3398F">
        <w:rPr>
          <w:rFonts w:eastAsiaTheme="minorEastAsia"/>
          <w:b/>
          <w:color w:val="000000" w:themeColor="text1"/>
          <w:kern w:val="0"/>
          <w:szCs w:val="21"/>
        </w:rPr>
        <w:t>：</w:t>
      </w:r>
    </w:p>
    <w:tbl>
      <w:tblPr>
        <w:tblStyle w:val="afa"/>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65601A" w:rsidRPr="00A3398F" w:rsidTr="00845292">
        <w:tc>
          <w:tcPr>
            <w:tcW w:w="1290"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阶段</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highlight w:val="green"/>
              </w:rPr>
            </w:pPr>
            <w:r w:rsidRPr="00A3398F">
              <w:rPr>
                <w:rFonts w:eastAsiaTheme="minorEastAsia"/>
                <w:color w:val="000000" w:themeColor="text1"/>
                <w:szCs w:val="21"/>
              </w:rPr>
              <w:t>净值增长率</w:t>
            </w:r>
            <w:r w:rsidRPr="00A3398F">
              <w:rPr>
                <w:rFonts w:ascii="宋体" w:hAnsi="宋体" w:cs="宋体" w:hint="eastAsia"/>
                <w:color w:val="000000" w:themeColor="text1"/>
                <w:szCs w:val="21"/>
              </w:rPr>
              <w:t>①</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highlight w:val="green"/>
              </w:rPr>
            </w:pPr>
            <w:r w:rsidRPr="00A3398F">
              <w:rPr>
                <w:rFonts w:eastAsiaTheme="minorEastAsia"/>
                <w:color w:val="000000" w:themeColor="text1"/>
                <w:szCs w:val="21"/>
              </w:rPr>
              <w:t>净值增长率标准差</w:t>
            </w:r>
            <w:r w:rsidRPr="00A3398F">
              <w:rPr>
                <w:rFonts w:ascii="宋体" w:hAnsi="宋体" w:cs="宋体" w:hint="eastAsia"/>
                <w:color w:val="000000" w:themeColor="text1"/>
                <w:szCs w:val="21"/>
              </w:rPr>
              <w:t>②</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eastAsiaTheme="minorEastAsia"/>
                <w:color w:val="000000" w:themeColor="text1"/>
                <w:szCs w:val="21"/>
              </w:rPr>
              <w:t>业绩比较基准收益率标准差</w:t>
            </w:r>
            <w:r w:rsidRPr="00A3398F">
              <w:rPr>
                <w:rFonts w:ascii="宋体" w:hAnsi="宋体" w:cs="宋体" w:hint="eastAsia"/>
                <w:color w:val="000000" w:themeColor="text1"/>
                <w:szCs w:val="21"/>
              </w:rPr>
              <w:t>④</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①</w:t>
            </w:r>
            <w:r w:rsidRPr="00A3398F">
              <w:rPr>
                <w:rFonts w:eastAsiaTheme="minorEastAsia"/>
                <w:color w:val="000000" w:themeColor="text1"/>
                <w:szCs w:val="21"/>
              </w:rPr>
              <w:t>－</w:t>
            </w:r>
            <w:r w:rsidRPr="00A3398F">
              <w:rPr>
                <w:rFonts w:ascii="宋体" w:hAnsi="宋体" w:cs="宋体" w:hint="eastAsia"/>
                <w:color w:val="000000" w:themeColor="text1"/>
                <w:szCs w:val="21"/>
              </w:rPr>
              <w:t>③</w:t>
            </w:r>
          </w:p>
        </w:tc>
        <w:tc>
          <w:tcPr>
            <w:tcW w:w="1291" w:type="dxa"/>
            <w:vAlign w:val="center"/>
          </w:tcPr>
          <w:p w:rsidR="0065601A" w:rsidRPr="00A3398F" w:rsidRDefault="0065601A" w:rsidP="00845292">
            <w:pPr>
              <w:snapToGrid w:val="0"/>
              <w:spacing w:line="288" w:lineRule="auto"/>
              <w:jc w:val="center"/>
              <w:rPr>
                <w:rFonts w:eastAsiaTheme="minorEastAsia"/>
                <w:color w:val="000000" w:themeColor="text1"/>
                <w:szCs w:val="21"/>
              </w:rPr>
            </w:pPr>
            <w:r w:rsidRPr="00A3398F">
              <w:rPr>
                <w:rFonts w:ascii="宋体" w:hAnsi="宋体" w:cs="宋体" w:hint="eastAsia"/>
                <w:color w:val="000000" w:themeColor="text1"/>
                <w:szCs w:val="21"/>
              </w:rPr>
              <w:t>②</w:t>
            </w:r>
            <w:r w:rsidRPr="00A3398F">
              <w:rPr>
                <w:rFonts w:eastAsiaTheme="minorEastAsia"/>
                <w:color w:val="000000" w:themeColor="text1"/>
                <w:szCs w:val="21"/>
              </w:rPr>
              <w:t>－</w:t>
            </w:r>
            <w:r w:rsidRPr="00A3398F">
              <w:rPr>
                <w:rFonts w:ascii="宋体" w:hAnsi="宋体" w:cs="宋体" w:hint="eastAsia"/>
                <w:color w:val="000000" w:themeColor="text1"/>
                <w:szCs w:val="21"/>
              </w:rPr>
              <w:t>④</w:t>
            </w:r>
          </w:p>
        </w:tc>
      </w:tr>
      <w:tr w:rsidR="00233BAF">
        <w:tc>
          <w:tcPr>
            <w:tcW w:w="1290" w:type="dxa"/>
            <w:vAlign w:val="center"/>
          </w:tcPr>
          <w:p w:rsidR="00233BAF" w:rsidRDefault="00857069">
            <w:pPr>
              <w:jc w:val="left"/>
            </w:pPr>
            <w:r>
              <w:rPr>
                <w:rFonts w:eastAsiaTheme="minorEastAsia"/>
                <w:color w:val="000000" w:themeColor="text1"/>
                <w:szCs w:val="21"/>
              </w:rPr>
              <w:t>过去三个月</w:t>
            </w:r>
          </w:p>
        </w:tc>
        <w:tc>
          <w:tcPr>
            <w:tcW w:w="1291" w:type="dxa"/>
            <w:vAlign w:val="center"/>
          </w:tcPr>
          <w:p w:rsidR="00233BAF" w:rsidRDefault="00857069">
            <w:pPr>
              <w:jc w:val="right"/>
            </w:pPr>
            <w:r>
              <w:rPr>
                <w:rFonts w:eastAsiaTheme="minorEastAsia"/>
                <w:color w:val="000000" w:themeColor="text1"/>
                <w:szCs w:val="21"/>
              </w:rPr>
              <w:t>5.74%</w:t>
            </w:r>
          </w:p>
        </w:tc>
        <w:tc>
          <w:tcPr>
            <w:tcW w:w="1291" w:type="dxa"/>
            <w:vAlign w:val="center"/>
          </w:tcPr>
          <w:p w:rsidR="00233BAF" w:rsidRDefault="00857069">
            <w:pPr>
              <w:jc w:val="right"/>
            </w:pPr>
            <w:r>
              <w:rPr>
                <w:rFonts w:eastAsiaTheme="minorEastAsia"/>
                <w:color w:val="000000" w:themeColor="text1"/>
                <w:szCs w:val="21"/>
              </w:rPr>
              <w:t>0.37%</w:t>
            </w:r>
          </w:p>
        </w:tc>
        <w:tc>
          <w:tcPr>
            <w:tcW w:w="1291" w:type="dxa"/>
            <w:vAlign w:val="center"/>
          </w:tcPr>
          <w:p w:rsidR="00233BAF" w:rsidRDefault="00857069">
            <w:pPr>
              <w:jc w:val="right"/>
            </w:pPr>
            <w:r>
              <w:rPr>
                <w:rFonts w:eastAsiaTheme="minorEastAsia"/>
                <w:color w:val="000000" w:themeColor="text1"/>
                <w:szCs w:val="21"/>
              </w:rPr>
              <w:t>6.07%</w:t>
            </w:r>
          </w:p>
        </w:tc>
        <w:tc>
          <w:tcPr>
            <w:tcW w:w="1291" w:type="dxa"/>
            <w:vAlign w:val="center"/>
          </w:tcPr>
          <w:p w:rsidR="00233BAF" w:rsidRDefault="00857069">
            <w:pPr>
              <w:jc w:val="right"/>
            </w:pPr>
            <w:r>
              <w:rPr>
                <w:rFonts w:eastAsiaTheme="minorEastAsia"/>
                <w:color w:val="000000" w:themeColor="text1"/>
                <w:szCs w:val="21"/>
              </w:rPr>
              <w:t>0.45%</w:t>
            </w:r>
          </w:p>
        </w:tc>
        <w:tc>
          <w:tcPr>
            <w:tcW w:w="1291" w:type="dxa"/>
            <w:vAlign w:val="center"/>
          </w:tcPr>
          <w:p w:rsidR="00233BAF" w:rsidRDefault="00857069">
            <w:pPr>
              <w:jc w:val="right"/>
            </w:pPr>
            <w:r>
              <w:rPr>
                <w:rFonts w:eastAsiaTheme="minorEastAsia"/>
                <w:color w:val="000000" w:themeColor="text1"/>
                <w:szCs w:val="21"/>
              </w:rPr>
              <w:t>-0.33%</w:t>
            </w:r>
          </w:p>
        </w:tc>
        <w:tc>
          <w:tcPr>
            <w:tcW w:w="1291" w:type="dxa"/>
            <w:vAlign w:val="center"/>
          </w:tcPr>
          <w:p w:rsidR="00233BAF" w:rsidRDefault="00857069">
            <w:pPr>
              <w:jc w:val="right"/>
            </w:pPr>
            <w:r>
              <w:rPr>
                <w:rFonts w:eastAsiaTheme="minorEastAsia"/>
                <w:color w:val="000000" w:themeColor="text1"/>
                <w:szCs w:val="21"/>
              </w:rPr>
              <w:t>-0.08%</w:t>
            </w:r>
          </w:p>
        </w:tc>
      </w:tr>
      <w:tr w:rsidR="00233BAF">
        <w:tc>
          <w:tcPr>
            <w:tcW w:w="1290" w:type="dxa"/>
            <w:vAlign w:val="center"/>
          </w:tcPr>
          <w:p w:rsidR="00233BAF" w:rsidRDefault="00857069">
            <w:pPr>
              <w:jc w:val="left"/>
            </w:pPr>
            <w:r>
              <w:rPr>
                <w:rFonts w:eastAsiaTheme="minorEastAsia"/>
                <w:color w:val="000000" w:themeColor="text1"/>
                <w:szCs w:val="21"/>
              </w:rPr>
              <w:t>过去六个月</w:t>
            </w:r>
          </w:p>
        </w:tc>
        <w:tc>
          <w:tcPr>
            <w:tcW w:w="1291" w:type="dxa"/>
            <w:vAlign w:val="center"/>
          </w:tcPr>
          <w:p w:rsidR="00233BAF" w:rsidRDefault="00857069">
            <w:pPr>
              <w:jc w:val="right"/>
            </w:pPr>
            <w:r>
              <w:rPr>
                <w:rFonts w:eastAsiaTheme="minorEastAsia"/>
                <w:color w:val="000000" w:themeColor="text1"/>
                <w:szCs w:val="21"/>
              </w:rPr>
              <w:t>12.40%</w:t>
            </w:r>
          </w:p>
        </w:tc>
        <w:tc>
          <w:tcPr>
            <w:tcW w:w="1291" w:type="dxa"/>
            <w:vAlign w:val="center"/>
          </w:tcPr>
          <w:p w:rsidR="00233BAF" w:rsidRDefault="00857069">
            <w:pPr>
              <w:jc w:val="right"/>
            </w:pPr>
            <w:r>
              <w:rPr>
                <w:rFonts w:eastAsiaTheme="minorEastAsia"/>
                <w:color w:val="000000" w:themeColor="text1"/>
                <w:szCs w:val="21"/>
              </w:rPr>
              <w:t>0.41%</w:t>
            </w:r>
          </w:p>
        </w:tc>
        <w:tc>
          <w:tcPr>
            <w:tcW w:w="1291" w:type="dxa"/>
            <w:vAlign w:val="center"/>
          </w:tcPr>
          <w:p w:rsidR="00233BAF" w:rsidRDefault="00857069">
            <w:pPr>
              <w:jc w:val="right"/>
            </w:pPr>
            <w:r>
              <w:rPr>
                <w:rFonts w:eastAsiaTheme="minorEastAsia"/>
                <w:color w:val="000000" w:themeColor="text1"/>
                <w:szCs w:val="21"/>
              </w:rPr>
              <w:t>15.26%</w:t>
            </w:r>
          </w:p>
        </w:tc>
        <w:tc>
          <w:tcPr>
            <w:tcW w:w="1291" w:type="dxa"/>
            <w:vAlign w:val="center"/>
          </w:tcPr>
          <w:p w:rsidR="00233BAF" w:rsidRDefault="00857069">
            <w:pPr>
              <w:jc w:val="right"/>
            </w:pPr>
            <w:r>
              <w:rPr>
                <w:rFonts w:eastAsiaTheme="minorEastAsia"/>
                <w:color w:val="000000" w:themeColor="text1"/>
                <w:szCs w:val="21"/>
              </w:rPr>
              <w:t>0.52%</w:t>
            </w:r>
          </w:p>
        </w:tc>
        <w:tc>
          <w:tcPr>
            <w:tcW w:w="1291" w:type="dxa"/>
            <w:vAlign w:val="center"/>
          </w:tcPr>
          <w:p w:rsidR="00233BAF" w:rsidRDefault="00857069">
            <w:pPr>
              <w:jc w:val="right"/>
            </w:pPr>
            <w:r>
              <w:rPr>
                <w:rFonts w:eastAsiaTheme="minorEastAsia"/>
                <w:color w:val="000000" w:themeColor="text1"/>
                <w:szCs w:val="21"/>
              </w:rPr>
              <w:t>-2.86%</w:t>
            </w:r>
          </w:p>
        </w:tc>
        <w:tc>
          <w:tcPr>
            <w:tcW w:w="1291" w:type="dxa"/>
            <w:vAlign w:val="center"/>
          </w:tcPr>
          <w:p w:rsidR="00233BAF" w:rsidRDefault="00857069">
            <w:pPr>
              <w:jc w:val="right"/>
            </w:pPr>
            <w:r>
              <w:rPr>
                <w:rFonts w:eastAsiaTheme="minorEastAsia"/>
                <w:color w:val="000000" w:themeColor="text1"/>
                <w:szCs w:val="21"/>
              </w:rPr>
              <w:t>-0.11%</w:t>
            </w:r>
          </w:p>
        </w:tc>
      </w:tr>
      <w:tr w:rsidR="00233BAF">
        <w:tc>
          <w:tcPr>
            <w:tcW w:w="1290" w:type="dxa"/>
            <w:vAlign w:val="center"/>
          </w:tcPr>
          <w:p w:rsidR="00233BAF" w:rsidRDefault="00857069">
            <w:pPr>
              <w:jc w:val="left"/>
            </w:pPr>
            <w:r>
              <w:rPr>
                <w:rFonts w:eastAsiaTheme="minorEastAsia"/>
                <w:color w:val="000000" w:themeColor="text1"/>
                <w:szCs w:val="21"/>
              </w:rPr>
              <w:t>过去一年</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r>
      <w:tr w:rsidR="00233BAF">
        <w:tc>
          <w:tcPr>
            <w:tcW w:w="1290" w:type="dxa"/>
            <w:vAlign w:val="center"/>
          </w:tcPr>
          <w:p w:rsidR="00233BAF" w:rsidRDefault="00857069">
            <w:pPr>
              <w:jc w:val="left"/>
            </w:pPr>
            <w:r>
              <w:rPr>
                <w:rFonts w:eastAsiaTheme="minorEastAsia"/>
                <w:color w:val="000000" w:themeColor="text1"/>
                <w:szCs w:val="21"/>
              </w:rPr>
              <w:t>过去三年</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r>
      <w:tr w:rsidR="00233BAF">
        <w:tc>
          <w:tcPr>
            <w:tcW w:w="1290" w:type="dxa"/>
            <w:vAlign w:val="center"/>
          </w:tcPr>
          <w:p w:rsidR="00233BAF" w:rsidRDefault="00857069">
            <w:pPr>
              <w:jc w:val="left"/>
            </w:pPr>
            <w:r>
              <w:rPr>
                <w:rFonts w:eastAsiaTheme="minorEastAsia"/>
                <w:color w:val="000000" w:themeColor="text1"/>
                <w:szCs w:val="21"/>
              </w:rPr>
              <w:lastRenderedPageBreak/>
              <w:t>过去五年</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c>
          <w:tcPr>
            <w:tcW w:w="1291" w:type="dxa"/>
            <w:vAlign w:val="center"/>
          </w:tcPr>
          <w:p w:rsidR="00233BAF" w:rsidRDefault="00857069">
            <w:pPr>
              <w:jc w:val="right"/>
            </w:pPr>
            <w:r>
              <w:rPr>
                <w:rFonts w:eastAsiaTheme="minorEastAsia"/>
                <w:color w:val="000000" w:themeColor="text1"/>
                <w:szCs w:val="21"/>
              </w:rPr>
              <w:t>-</w:t>
            </w:r>
          </w:p>
        </w:tc>
      </w:tr>
      <w:tr w:rsidR="00233BAF">
        <w:tc>
          <w:tcPr>
            <w:tcW w:w="1290" w:type="dxa"/>
            <w:vAlign w:val="center"/>
          </w:tcPr>
          <w:p w:rsidR="00233BAF" w:rsidRDefault="00857069">
            <w:pPr>
              <w:jc w:val="left"/>
            </w:pPr>
            <w:r>
              <w:rPr>
                <w:rFonts w:eastAsiaTheme="minorEastAsia"/>
                <w:color w:val="000000" w:themeColor="text1"/>
                <w:szCs w:val="21"/>
              </w:rPr>
              <w:t>自基金合同生效起至今</w:t>
            </w:r>
          </w:p>
        </w:tc>
        <w:tc>
          <w:tcPr>
            <w:tcW w:w="1291" w:type="dxa"/>
            <w:vAlign w:val="center"/>
          </w:tcPr>
          <w:p w:rsidR="00233BAF" w:rsidRDefault="00857069">
            <w:pPr>
              <w:jc w:val="right"/>
            </w:pPr>
            <w:r>
              <w:rPr>
                <w:rFonts w:eastAsiaTheme="minorEastAsia"/>
                <w:color w:val="000000" w:themeColor="text1"/>
                <w:szCs w:val="21"/>
              </w:rPr>
              <w:t>9.84%</w:t>
            </w:r>
          </w:p>
        </w:tc>
        <w:tc>
          <w:tcPr>
            <w:tcW w:w="1291" w:type="dxa"/>
            <w:vAlign w:val="center"/>
          </w:tcPr>
          <w:p w:rsidR="00233BAF" w:rsidRDefault="00857069">
            <w:pPr>
              <w:jc w:val="right"/>
            </w:pPr>
            <w:r>
              <w:rPr>
                <w:rFonts w:eastAsiaTheme="minorEastAsia"/>
                <w:color w:val="000000" w:themeColor="text1"/>
                <w:szCs w:val="21"/>
              </w:rPr>
              <w:t>0.43%</w:t>
            </w:r>
          </w:p>
        </w:tc>
        <w:tc>
          <w:tcPr>
            <w:tcW w:w="1291" w:type="dxa"/>
            <w:vAlign w:val="center"/>
          </w:tcPr>
          <w:p w:rsidR="00233BAF" w:rsidRDefault="00857069">
            <w:pPr>
              <w:jc w:val="right"/>
            </w:pPr>
            <w:r>
              <w:rPr>
                <w:rFonts w:eastAsiaTheme="minorEastAsia"/>
                <w:color w:val="000000" w:themeColor="text1"/>
                <w:szCs w:val="21"/>
              </w:rPr>
              <w:t>11.58%</w:t>
            </w:r>
          </w:p>
        </w:tc>
        <w:tc>
          <w:tcPr>
            <w:tcW w:w="1291" w:type="dxa"/>
            <w:vAlign w:val="center"/>
          </w:tcPr>
          <w:p w:rsidR="00233BAF" w:rsidRDefault="00857069">
            <w:pPr>
              <w:jc w:val="right"/>
            </w:pPr>
            <w:r>
              <w:rPr>
                <w:rFonts w:eastAsiaTheme="minorEastAsia"/>
                <w:color w:val="000000" w:themeColor="text1"/>
                <w:szCs w:val="21"/>
              </w:rPr>
              <w:t>0.54%</w:t>
            </w:r>
          </w:p>
        </w:tc>
        <w:tc>
          <w:tcPr>
            <w:tcW w:w="1291" w:type="dxa"/>
            <w:vAlign w:val="center"/>
          </w:tcPr>
          <w:p w:rsidR="00233BAF" w:rsidRDefault="00857069">
            <w:pPr>
              <w:jc w:val="right"/>
            </w:pPr>
            <w:r>
              <w:rPr>
                <w:rFonts w:eastAsiaTheme="minorEastAsia"/>
                <w:color w:val="000000" w:themeColor="text1"/>
                <w:szCs w:val="21"/>
              </w:rPr>
              <w:t>-1.74%</w:t>
            </w:r>
          </w:p>
        </w:tc>
        <w:tc>
          <w:tcPr>
            <w:tcW w:w="1291" w:type="dxa"/>
            <w:vAlign w:val="center"/>
          </w:tcPr>
          <w:p w:rsidR="00233BAF" w:rsidRDefault="00857069">
            <w:pPr>
              <w:jc w:val="right"/>
            </w:pPr>
            <w:r>
              <w:rPr>
                <w:rFonts w:eastAsiaTheme="minorEastAsia"/>
                <w:color w:val="000000" w:themeColor="text1"/>
                <w:szCs w:val="21"/>
              </w:rPr>
              <w:t>-0.11%</w:t>
            </w:r>
          </w:p>
        </w:tc>
      </w:tr>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3.2.2</w:t>
      </w:r>
      <w:r w:rsidRPr="00A3398F">
        <w:rPr>
          <w:rFonts w:eastAsiaTheme="minorEastAsia"/>
          <w:b/>
          <w:color w:val="000000" w:themeColor="text1"/>
          <w:kern w:val="0"/>
          <w:sz w:val="24"/>
        </w:rPr>
        <w:t xml:space="preserve">　</w:t>
      </w:r>
      <w:r w:rsidR="009779FD" w:rsidRPr="00A3398F">
        <w:rPr>
          <w:rStyle w:val="afb"/>
          <w:color w:val="000000" w:themeColor="text1"/>
          <w:sz w:val="24"/>
          <w:shd w:val="clear" w:color="auto" w:fill="FFFFFF"/>
        </w:rPr>
        <w:t>自基金合同生效以来</w:t>
      </w:r>
      <w:r w:rsidRPr="00A3398F">
        <w:rPr>
          <w:rFonts w:eastAsiaTheme="minorEastAsia"/>
          <w:b/>
          <w:color w:val="000000" w:themeColor="text1"/>
          <w:kern w:val="0"/>
          <w:sz w:val="24"/>
        </w:rPr>
        <w:t>基金累计</w:t>
      </w:r>
      <w:r w:rsidR="004339D9" w:rsidRPr="00A3398F">
        <w:rPr>
          <w:rFonts w:eastAsiaTheme="minorEastAsia"/>
          <w:b/>
          <w:color w:val="000000" w:themeColor="text1"/>
          <w:kern w:val="0"/>
          <w:sz w:val="24"/>
        </w:rPr>
        <w:t>份额</w:t>
      </w:r>
      <w:r w:rsidRPr="00A3398F">
        <w:rPr>
          <w:rFonts w:eastAsiaTheme="minorEastAsia"/>
          <w:b/>
          <w:color w:val="000000" w:themeColor="text1"/>
          <w:kern w:val="0"/>
          <w:sz w:val="24"/>
        </w:rPr>
        <w:t>净值增长率变动及其与同期业绩比较基准收益率变动的比较</w:t>
      </w:r>
    </w:p>
    <w:p w:rsidR="00A96FD9" w:rsidRPr="00A3398F" w:rsidRDefault="00A96FD9" w:rsidP="00EC4BA3">
      <w:pPr>
        <w:spacing w:line="360" w:lineRule="auto"/>
        <w:jc w:val="center"/>
        <w:rPr>
          <w:rFonts w:eastAsiaTheme="minorEastAsia"/>
          <w:color w:val="000000" w:themeColor="text1"/>
          <w:szCs w:val="21"/>
        </w:rPr>
      </w:pPr>
      <w:r w:rsidRPr="00A3398F">
        <w:rPr>
          <w:rFonts w:eastAsiaTheme="minorEastAsia"/>
          <w:color w:val="000000" w:themeColor="text1"/>
          <w:szCs w:val="21"/>
        </w:rPr>
        <w:t>摩根全球多元配置证券投资基金</w:t>
      </w:r>
      <w:r w:rsidRPr="00A3398F">
        <w:rPr>
          <w:rFonts w:eastAsiaTheme="minorEastAsia"/>
          <w:color w:val="000000" w:themeColor="text1"/>
          <w:szCs w:val="21"/>
        </w:rPr>
        <w:t>(QDII-FOF)</w:t>
      </w:r>
    </w:p>
    <w:p w:rsidR="00FB39F7" w:rsidRPr="00A3398F"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3398F">
        <w:rPr>
          <w:rFonts w:ascii="Times New Roman" w:eastAsiaTheme="minorEastAsia" w:hAnsi="Times New Roman"/>
          <w:color w:val="000000" w:themeColor="text1"/>
        </w:rPr>
        <w:t>累计</w:t>
      </w:r>
      <w:r w:rsidR="00C67DCB" w:rsidRPr="00A3398F">
        <w:rPr>
          <w:rFonts w:ascii="Times New Roman" w:eastAsiaTheme="minorEastAsia" w:hAnsi="Times New Roman"/>
          <w:color w:val="000000" w:themeColor="text1"/>
        </w:rPr>
        <w:t>份额</w:t>
      </w:r>
      <w:r w:rsidRPr="00A3398F">
        <w:rPr>
          <w:rFonts w:ascii="Times New Roman" w:eastAsiaTheme="minorEastAsia" w:hAnsi="Times New Roman"/>
          <w:color w:val="000000" w:themeColor="text1"/>
        </w:rPr>
        <w:t>净值增长率与业绩比较基准收益率历史走势对比图</w:t>
      </w:r>
    </w:p>
    <w:p w:rsidR="005908C0" w:rsidRPr="00A3398F" w:rsidRDefault="005908C0" w:rsidP="00EC4BA3">
      <w:pPr>
        <w:spacing w:line="360" w:lineRule="auto"/>
        <w:jc w:val="center"/>
        <w:rPr>
          <w:rFonts w:eastAsiaTheme="minorEastAsia"/>
          <w:color w:val="000000" w:themeColor="text1"/>
          <w:szCs w:val="21"/>
        </w:rPr>
      </w:pPr>
      <w:r w:rsidRPr="00A3398F">
        <w:rPr>
          <w:rFonts w:eastAsiaTheme="minorEastAsia"/>
          <w:color w:val="000000" w:themeColor="text1"/>
          <w:kern w:val="0"/>
          <w:szCs w:val="21"/>
        </w:rPr>
        <w:t>（</w:t>
      </w:r>
      <w:r w:rsidR="00623556" w:rsidRPr="00A3398F">
        <w:rPr>
          <w:rFonts w:eastAsiaTheme="minorEastAsia"/>
          <w:color w:val="000000" w:themeColor="text1"/>
          <w:kern w:val="0"/>
          <w:szCs w:val="21"/>
        </w:rPr>
        <w:t>2016</w:t>
      </w:r>
      <w:r w:rsidR="00623556" w:rsidRPr="00A3398F">
        <w:rPr>
          <w:rFonts w:eastAsiaTheme="minorEastAsia"/>
          <w:color w:val="000000" w:themeColor="text1"/>
          <w:kern w:val="0"/>
          <w:szCs w:val="21"/>
        </w:rPr>
        <w:t>年</w:t>
      </w:r>
      <w:r w:rsidR="00623556" w:rsidRPr="00A3398F">
        <w:rPr>
          <w:rFonts w:eastAsiaTheme="minorEastAsia"/>
          <w:color w:val="000000" w:themeColor="text1"/>
          <w:kern w:val="0"/>
          <w:szCs w:val="21"/>
        </w:rPr>
        <w:t>12</w:t>
      </w:r>
      <w:r w:rsidR="00623556" w:rsidRPr="00A3398F">
        <w:rPr>
          <w:rFonts w:eastAsiaTheme="minorEastAsia"/>
          <w:color w:val="000000" w:themeColor="text1"/>
          <w:kern w:val="0"/>
          <w:szCs w:val="21"/>
        </w:rPr>
        <w:t>月</w:t>
      </w:r>
      <w:r w:rsidR="00623556" w:rsidRPr="00A3398F">
        <w:rPr>
          <w:rFonts w:eastAsiaTheme="minorEastAsia"/>
          <w:color w:val="000000" w:themeColor="text1"/>
          <w:kern w:val="0"/>
          <w:szCs w:val="21"/>
        </w:rPr>
        <w:t>19</w:t>
      </w:r>
      <w:r w:rsidR="00623556" w:rsidRPr="00A3398F">
        <w:rPr>
          <w:rFonts w:eastAsiaTheme="minorEastAsia"/>
          <w:color w:val="000000" w:themeColor="text1"/>
          <w:kern w:val="0"/>
          <w:szCs w:val="21"/>
        </w:rPr>
        <w:t>日</w:t>
      </w:r>
      <w:r w:rsidRPr="00A3398F">
        <w:rPr>
          <w:rFonts w:eastAsiaTheme="minorEastAsia"/>
          <w:color w:val="000000" w:themeColor="text1"/>
          <w:kern w:val="0"/>
          <w:szCs w:val="21"/>
        </w:rPr>
        <w:t>至</w:t>
      </w:r>
      <w:r w:rsidRPr="00A3398F">
        <w:rPr>
          <w:rFonts w:eastAsiaTheme="minorEastAsia"/>
          <w:color w:val="000000" w:themeColor="text1"/>
          <w:kern w:val="0"/>
          <w:szCs w:val="21"/>
        </w:rPr>
        <w:t>2024</w:t>
      </w:r>
      <w:r w:rsidRPr="00A3398F">
        <w:rPr>
          <w:rFonts w:eastAsiaTheme="minorEastAsia"/>
          <w:color w:val="000000" w:themeColor="text1"/>
          <w:kern w:val="0"/>
          <w:szCs w:val="21"/>
        </w:rPr>
        <w:t>年</w:t>
      </w:r>
      <w:r w:rsidRPr="00A3398F">
        <w:rPr>
          <w:rFonts w:eastAsiaTheme="minorEastAsia"/>
          <w:color w:val="000000" w:themeColor="text1"/>
          <w:kern w:val="0"/>
          <w:szCs w:val="21"/>
        </w:rPr>
        <w:t>3</w:t>
      </w:r>
      <w:r w:rsidRPr="00A3398F">
        <w:rPr>
          <w:rFonts w:eastAsiaTheme="minorEastAsia"/>
          <w:color w:val="000000" w:themeColor="text1"/>
          <w:kern w:val="0"/>
          <w:szCs w:val="21"/>
        </w:rPr>
        <w:t>月</w:t>
      </w:r>
      <w:r w:rsidRPr="00A3398F">
        <w:rPr>
          <w:rFonts w:eastAsiaTheme="minorEastAsia"/>
          <w:color w:val="000000" w:themeColor="text1"/>
          <w:kern w:val="0"/>
          <w:szCs w:val="21"/>
        </w:rPr>
        <w:t>31</w:t>
      </w:r>
      <w:r w:rsidRPr="00A3398F">
        <w:rPr>
          <w:rFonts w:eastAsiaTheme="minorEastAsia"/>
          <w:color w:val="000000" w:themeColor="text1"/>
          <w:kern w:val="0"/>
          <w:szCs w:val="21"/>
        </w:rPr>
        <w:t>日）</w:t>
      </w:r>
    </w:p>
    <w:p w:rsidR="0065601A" w:rsidRPr="00A3398F" w:rsidRDefault="0065601A" w:rsidP="0065601A">
      <w:pPr>
        <w:snapToGrid w:val="0"/>
        <w:spacing w:line="360" w:lineRule="auto"/>
        <w:rPr>
          <w:rFonts w:eastAsiaTheme="minorEastAsia"/>
          <w:color w:val="000000" w:themeColor="text1"/>
          <w:szCs w:val="21"/>
        </w:rPr>
      </w:pPr>
      <w:r w:rsidRPr="00A3398F">
        <w:rPr>
          <w:rFonts w:eastAsiaTheme="minorEastAsia"/>
          <w:color w:val="000000" w:themeColor="text1"/>
          <w:szCs w:val="21"/>
        </w:rPr>
        <w:t>1</w:t>
      </w:r>
      <w:r w:rsidRPr="00A3398F">
        <w:rPr>
          <w:rFonts w:eastAsiaTheme="minorEastAsia"/>
          <w:color w:val="000000" w:themeColor="text1"/>
          <w:szCs w:val="21"/>
        </w:rPr>
        <w:t>．摩根全球多元配置</w:t>
      </w:r>
      <w:r w:rsidRPr="00A3398F">
        <w:rPr>
          <w:rFonts w:eastAsiaTheme="minorEastAsia"/>
          <w:color w:val="000000" w:themeColor="text1"/>
          <w:szCs w:val="21"/>
        </w:rPr>
        <w:t>(QDII-FOF)</w:t>
      </w:r>
      <w:r w:rsidRPr="00A3398F">
        <w:rPr>
          <w:rFonts w:eastAsiaTheme="minorEastAsia"/>
          <w:color w:val="000000" w:themeColor="text1"/>
          <w:szCs w:val="21"/>
        </w:rPr>
        <w:t>人民币</w:t>
      </w:r>
      <w:r w:rsidRPr="00A3398F">
        <w:rPr>
          <w:rFonts w:eastAsiaTheme="minorEastAsia"/>
          <w:color w:val="000000" w:themeColor="text1"/>
          <w:szCs w:val="21"/>
        </w:rPr>
        <w:t>A</w:t>
      </w:r>
      <w:r w:rsidRPr="00A3398F">
        <w:rPr>
          <w:rFonts w:eastAsiaTheme="minorEastAsia"/>
          <w:color w:val="000000" w:themeColor="text1"/>
          <w:szCs w:val="21"/>
        </w:rPr>
        <w:t>：</w:t>
      </w:r>
    </w:p>
    <w:p w:rsidR="0065601A" w:rsidRPr="00A3398F" w:rsidRDefault="0065601A" w:rsidP="0065601A">
      <w:pPr>
        <w:pStyle w:val="20"/>
        <w:spacing w:line="288" w:lineRule="auto"/>
        <w:ind w:firstLineChars="0" w:firstLine="0"/>
        <w:jc w:val="center"/>
        <w:rPr>
          <w:rFonts w:ascii="Times New Roman" w:eastAsiaTheme="minorEastAsia" w:hAnsi="Times New Roman"/>
          <w:color w:val="000000" w:themeColor="text1"/>
          <w:sz w:val="21"/>
          <w:szCs w:val="21"/>
        </w:rPr>
      </w:pPr>
      <w:r w:rsidRPr="00A3398F">
        <w:rPr>
          <w:rFonts w:ascii="Times New Roman" w:eastAsiaTheme="minorEastAsia" w:hAnsi="Times New Roman"/>
          <w:noProof/>
          <w:color w:val="000000" w:themeColor="text1"/>
          <w:sz w:val="21"/>
          <w:szCs w:val="21"/>
        </w:rPr>
        <w:drawing>
          <wp:inline distT="0" distB="0" distL="0" distR="0" wp14:anchorId="78A4BE9B" wp14:editId="63313FE9">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日，图示的时间段为合同生效日至本报告期末。</w:t>
      </w:r>
    </w:p>
    <w:p w:rsidR="0065601A" w:rsidRPr="00A3398F" w:rsidRDefault="0065601A" w:rsidP="0065601A">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本基金建仓期为本基金合同生效日起</w:t>
      </w:r>
      <w:r w:rsidRPr="00A3398F">
        <w:rPr>
          <w:rFonts w:eastAsiaTheme="minorEastAsia"/>
          <w:color w:val="000000" w:themeColor="text1"/>
          <w:szCs w:val="21"/>
        </w:rPr>
        <w:t xml:space="preserve"> 6 </w:t>
      </w:r>
      <w:r w:rsidRPr="00A3398F">
        <w:rPr>
          <w:rFonts w:eastAsiaTheme="minorEastAsia"/>
          <w:color w:val="000000" w:themeColor="text1"/>
          <w:szCs w:val="21"/>
        </w:rPr>
        <w:t>个月，建仓期结束时资产配置比例符合本基金基金合同规定。</w:t>
      </w:r>
    </w:p>
    <w:p w:rsidR="0065601A" w:rsidRPr="00A3398F" w:rsidRDefault="0065601A" w:rsidP="009E705F">
      <w:pPr>
        <w:snapToGrid w:val="0"/>
        <w:spacing w:beforeLines="100" w:before="312" w:line="360" w:lineRule="auto"/>
        <w:rPr>
          <w:rFonts w:eastAsiaTheme="minorEastAsia"/>
          <w:color w:val="000000" w:themeColor="text1"/>
          <w:szCs w:val="21"/>
        </w:rPr>
      </w:pPr>
      <w:r w:rsidRPr="00A3398F">
        <w:rPr>
          <w:rFonts w:eastAsiaTheme="minorEastAsia"/>
          <w:color w:val="000000" w:themeColor="text1"/>
          <w:szCs w:val="21"/>
        </w:rPr>
        <w:t>2</w:t>
      </w:r>
      <w:r w:rsidRPr="00A3398F">
        <w:rPr>
          <w:rFonts w:eastAsiaTheme="minorEastAsia"/>
          <w:color w:val="000000" w:themeColor="text1"/>
          <w:szCs w:val="21"/>
        </w:rPr>
        <w:t>．摩根全球多元配置</w:t>
      </w:r>
      <w:r w:rsidRPr="00A3398F">
        <w:rPr>
          <w:rFonts w:eastAsiaTheme="minorEastAsia"/>
          <w:color w:val="000000" w:themeColor="text1"/>
          <w:szCs w:val="21"/>
        </w:rPr>
        <w:t>(QDII-FOF)</w:t>
      </w:r>
      <w:r w:rsidRPr="00A3398F">
        <w:rPr>
          <w:rFonts w:eastAsiaTheme="minorEastAsia"/>
          <w:color w:val="000000" w:themeColor="text1"/>
          <w:szCs w:val="21"/>
        </w:rPr>
        <w:t>人民币</w:t>
      </w:r>
      <w:r w:rsidRPr="00A3398F">
        <w:rPr>
          <w:rFonts w:eastAsiaTheme="minorEastAsia"/>
          <w:color w:val="000000" w:themeColor="text1"/>
          <w:szCs w:val="21"/>
        </w:rPr>
        <w:t>C</w:t>
      </w:r>
      <w:r w:rsidRPr="00A3398F">
        <w:rPr>
          <w:rFonts w:eastAsiaTheme="minorEastAsia"/>
          <w:color w:val="000000" w:themeColor="text1"/>
          <w:szCs w:val="21"/>
        </w:rPr>
        <w:t>：</w:t>
      </w:r>
    </w:p>
    <w:p w:rsidR="0065601A" w:rsidRPr="00A3398F" w:rsidRDefault="0065601A" w:rsidP="0065601A">
      <w:pPr>
        <w:pStyle w:val="20"/>
        <w:spacing w:line="288" w:lineRule="auto"/>
        <w:ind w:firstLineChars="0" w:firstLine="0"/>
        <w:jc w:val="center"/>
        <w:rPr>
          <w:rFonts w:ascii="Times New Roman" w:eastAsiaTheme="minorEastAsia" w:hAnsi="Times New Roman"/>
          <w:color w:val="000000" w:themeColor="text1"/>
          <w:sz w:val="21"/>
          <w:szCs w:val="21"/>
        </w:rPr>
      </w:pPr>
      <w:r w:rsidRPr="00A3398F">
        <w:rPr>
          <w:rFonts w:ascii="Times New Roman" w:eastAsiaTheme="minorEastAsia" w:hAnsi="Times New Roman"/>
          <w:noProof/>
          <w:color w:val="000000" w:themeColor="text1"/>
          <w:sz w:val="21"/>
          <w:szCs w:val="21"/>
        </w:rPr>
        <w:lastRenderedPageBreak/>
        <w:drawing>
          <wp:inline distT="0" distB="0" distL="0" distR="0" wp14:anchorId="736DCB4C" wp14:editId="561D13E6">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65601A" w:rsidRPr="00A3398F" w:rsidRDefault="0065601A" w:rsidP="0065601A">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本基金建仓期为本基金合同生效日起</w:t>
      </w:r>
      <w:r w:rsidRPr="00A3398F">
        <w:rPr>
          <w:rFonts w:eastAsiaTheme="minorEastAsia"/>
          <w:color w:val="000000" w:themeColor="text1"/>
          <w:szCs w:val="21"/>
        </w:rPr>
        <w:t>6</w:t>
      </w:r>
      <w:r w:rsidRPr="00A3398F">
        <w:rPr>
          <w:rFonts w:eastAsiaTheme="minorEastAsia"/>
          <w:color w:val="000000" w:themeColor="text1"/>
          <w:szCs w:val="21"/>
        </w:rPr>
        <w:t>个月，建仓期结束时资产配置比例符合本基金基金合同规定。</w:t>
      </w:r>
    </w:p>
    <w:p w:rsidR="00845292" w:rsidRPr="00A3398F" w:rsidRDefault="00845292" w:rsidP="0065601A">
      <w:pPr>
        <w:spacing w:line="360" w:lineRule="auto"/>
        <w:ind w:firstLineChars="200" w:firstLine="420"/>
        <w:rPr>
          <w:rFonts w:eastAsiaTheme="minorEastAsia"/>
          <w:color w:val="000000" w:themeColor="text1"/>
          <w:szCs w:val="21"/>
        </w:rPr>
      </w:pP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§4  </w:t>
      </w:r>
      <w:r w:rsidRPr="00A3398F">
        <w:rPr>
          <w:rFonts w:eastAsiaTheme="minorEastAsia"/>
          <w:color w:val="000000" w:themeColor="text1"/>
          <w:kern w:val="0"/>
          <w:sz w:val="24"/>
          <w:szCs w:val="24"/>
        </w:rPr>
        <w:t>管理人报告</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4.1 </w:t>
      </w:r>
      <w:r w:rsidRPr="00A3398F">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3398F" w:rsidTr="00797DD2">
        <w:trPr>
          <w:cantSplit/>
          <w:trHeight w:val="292"/>
        </w:trPr>
        <w:tc>
          <w:tcPr>
            <w:tcW w:w="851" w:type="dxa"/>
            <w:vMerge w:val="restart"/>
            <w:vAlign w:val="center"/>
          </w:tcPr>
          <w:p w:rsidR="007D1292" w:rsidRPr="00A3398F" w:rsidRDefault="007D1292" w:rsidP="00B918B8">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姓名</w:t>
            </w:r>
          </w:p>
        </w:tc>
        <w:tc>
          <w:tcPr>
            <w:tcW w:w="850" w:type="dxa"/>
            <w:vMerge w:val="restart"/>
            <w:vAlign w:val="center"/>
          </w:tcPr>
          <w:p w:rsidR="007D1292" w:rsidRPr="00A3398F" w:rsidRDefault="007D1292" w:rsidP="00B918B8">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职务</w:t>
            </w:r>
          </w:p>
        </w:tc>
        <w:tc>
          <w:tcPr>
            <w:tcW w:w="3119" w:type="dxa"/>
            <w:gridSpan w:val="2"/>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任本基金的基金经理期限</w:t>
            </w:r>
          </w:p>
        </w:tc>
        <w:tc>
          <w:tcPr>
            <w:tcW w:w="1417" w:type="dxa"/>
            <w:vMerge w:val="restart"/>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证券从业年限</w:t>
            </w:r>
          </w:p>
        </w:tc>
        <w:tc>
          <w:tcPr>
            <w:tcW w:w="2694" w:type="dxa"/>
            <w:vMerge w:val="restart"/>
            <w:vAlign w:val="center"/>
          </w:tcPr>
          <w:p w:rsidR="007D1292" w:rsidRPr="00A3398F" w:rsidRDefault="007D1292" w:rsidP="00797DD2">
            <w:pPr>
              <w:widowControl/>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说明</w:t>
            </w:r>
          </w:p>
        </w:tc>
      </w:tr>
      <w:tr w:rsidR="008277FF" w:rsidRPr="00A3398F" w:rsidTr="00797DD2">
        <w:trPr>
          <w:cantSplit/>
        </w:trPr>
        <w:tc>
          <w:tcPr>
            <w:tcW w:w="851" w:type="dxa"/>
            <w:vMerge/>
            <w:vAlign w:val="center"/>
          </w:tcPr>
          <w:p w:rsidR="007D1292" w:rsidRPr="00A3398F"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3398F"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任职日期</w:t>
            </w:r>
          </w:p>
        </w:tc>
        <w:tc>
          <w:tcPr>
            <w:tcW w:w="1559" w:type="dxa"/>
            <w:vAlign w:val="center"/>
          </w:tcPr>
          <w:p w:rsidR="007D1292" w:rsidRPr="00A3398F"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离任日期</w:t>
            </w:r>
          </w:p>
        </w:tc>
        <w:tc>
          <w:tcPr>
            <w:tcW w:w="1417" w:type="dxa"/>
            <w:vMerge/>
            <w:vAlign w:val="center"/>
          </w:tcPr>
          <w:p w:rsidR="007D1292" w:rsidRPr="00A3398F"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3398F" w:rsidRDefault="007D1292" w:rsidP="00797DD2">
            <w:pPr>
              <w:widowControl/>
              <w:spacing w:line="360" w:lineRule="auto"/>
              <w:jc w:val="center"/>
              <w:rPr>
                <w:rFonts w:eastAsiaTheme="minorEastAsia"/>
                <w:color w:val="000000" w:themeColor="text1"/>
                <w:kern w:val="0"/>
                <w:szCs w:val="21"/>
              </w:rPr>
            </w:pPr>
          </w:p>
        </w:tc>
      </w:tr>
      <w:tr w:rsidR="00233BAF">
        <w:tc>
          <w:tcPr>
            <w:tcW w:w="851" w:type="dxa"/>
            <w:vAlign w:val="center"/>
          </w:tcPr>
          <w:p w:rsidR="00233BAF" w:rsidRDefault="00857069">
            <w:pPr>
              <w:jc w:val="center"/>
            </w:pPr>
            <w:r>
              <w:rPr>
                <w:rFonts w:eastAsiaTheme="minorEastAsia"/>
                <w:color w:val="000000" w:themeColor="text1"/>
                <w:szCs w:val="21"/>
              </w:rPr>
              <w:t>张军</w:t>
            </w:r>
          </w:p>
        </w:tc>
        <w:tc>
          <w:tcPr>
            <w:tcW w:w="850" w:type="dxa"/>
            <w:vAlign w:val="center"/>
          </w:tcPr>
          <w:p w:rsidR="00233BAF" w:rsidRDefault="00857069">
            <w:pPr>
              <w:jc w:val="center"/>
            </w:pPr>
            <w:r>
              <w:rPr>
                <w:rFonts w:eastAsiaTheme="minorEastAsia"/>
                <w:color w:val="000000" w:themeColor="text1"/>
                <w:szCs w:val="21"/>
              </w:rPr>
              <w:t>本基金基金经理</w:t>
            </w:r>
          </w:p>
        </w:tc>
        <w:tc>
          <w:tcPr>
            <w:tcW w:w="1560" w:type="dxa"/>
            <w:vAlign w:val="center"/>
          </w:tcPr>
          <w:p w:rsidR="00233BAF" w:rsidRDefault="00857069">
            <w:pPr>
              <w:jc w:val="center"/>
            </w:pPr>
            <w:r>
              <w:rPr>
                <w:rFonts w:eastAsiaTheme="minorEastAsia"/>
                <w:color w:val="000000" w:themeColor="text1"/>
                <w:szCs w:val="21"/>
              </w:rPr>
              <w:t>2016-12-19</w:t>
            </w:r>
          </w:p>
        </w:tc>
        <w:tc>
          <w:tcPr>
            <w:tcW w:w="1559" w:type="dxa"/>
            <w:vAlign w:val="center"/>
          </w:tcPr>
          <w:p w:rsidR="00233BAF" w:rsidRDefault="00857069">
            <w:pPr>
              <w:jc w:val="center"/>
            </w:pPr>
            <w:r>
              <w:rPr>
                <w:rFonts w:eastAsiaTheme="minorEastAsia"/>
                <w:color w:val="000000" w:themeColor="text1"/>
                <w:szCs w:val="21"/>
              </w:rPr>
              <w:t>-</w:t>
            </w:r>
          </w:p>
        </w:tc>
        <w:tc>
          <w:tcPr>
            <w:tcW w:w="1417" w:type="dxa"/>
            <w:vAlign w:val="center"/>
          </w:tcPr>
          <w:p w:rsidR="00233BAF" w:rsidRDefault="00857069">
            <w:pPr>
              <w:jc w:val="center"/>
            </w:pPr>
            <w:r>
              <w:rPr>
                <w:rFonts w:eastAsiaTheme="minorEastAsia"/>
                <w:color w:val="000000" w:themeColor="text1"/>
                <w:szCs w:val="21"/>
              </w:rPr>
              <w:t>20</w:t>
            </w:r>
            <w:r>
              <w:rPr>
                <w:rFonts w:eastAsiaTheme="minorEastAsia"/>
                <w:color w:val="000000" w:themeColor="text1"/>
                <w:szCs w:val="21"/>
              </w:rPr>
              <w:t>年（金融领域从业经验</w:t>
            </w:r>
            <w:r>
              <w:rPr>
                <w:rFonts w:eastAsiaTheme="minorEastAsia"/>
                <w:color w:val="000000" w:themeColor="text1"/>
                <w:szCs w:val="21"/>
              </w:rPr>
              <w:t>31</w:t>
            </w:r>
            <w:r>
              <w:rPr>
                <w:rFonts w:eastAsiaTheme="minorEastAsia"/>
                <w:color w:val="000000" w:themeColor="text1"/>
                <w:szCs w:val="21"/>
              </w:rPr>
              <w:t>年）</w:t>
            </w:r>
          </w:p>
        </w:tc>
        <w:tc>
          <w:tcPr>
            <w:tcW w:w="2694" w:type="dxa"/>
            <w:vAlign w:val="center"/>
          </w:tcPr>
          <w:p w:rsidR="00233BAF" w:rsidRDefault="00857069">
            <w:pPr>
              <w:jc w:val="left"/>
            </w:pPr>
            <w:r>
              <w:rPr>
                <w:rFonts w:eastAsiaTheme="minorEastAsia"/>
                <w:color w:val="000000" w:themeColor="text1"/>
                <w:szCs w:val="21"/>
              </w:rPr>
              <w:t>张军先生曾任上海国际信托有限公司国际业务部经理、交易部经理。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bl>
    <w:p w:rsidR="00233BAF" w:rsidRDefault="00857069">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233BAF" w:rsidRDefault="00857069">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张军先生为本基金首任基金经理，其任职日期指本基金基金合同生效之日。</w:t>
      </w:r>
    </w:p>
    <w:p w:rsidR="00A47E47" w:rsidRPr="00A3398F" w:rsidRDefault="00A47E47"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3.</w:t>
      </w:r>
      <w:r w:rsidRPr="00A3398F">
        <w:rPr>
          <w:rFonts w:eastAsiaTheme="minorEastAsia"/>
          <w:color w:val="000000" w:themeColor="text1"/>
          <w:szCs w:val="21"/>
        </w:rPr>
        <w:t>证券从业的含义遵从行业协会《证券业从业人员资格管理办法》的相关规定。</w:t>
      </w:r>
    </w:p>
    <w:p w:rsidR="00EE1749" w:rsidRPr="00A3398F" w:rsidRDefault="00EE1749" w:rsidP="00EE1749">
      <w:pPr>
        <w:autoSpaceDE w:val="0"/>
        <w:autoSpaceDN w:val="0"/>
        <w:adjustRightInd w:val="0"/>
        <w:spacing w:line="360" w:lineRule="auto"/>
        <w:jc w:val="left"/>
        <w:rPr>
          <w:rFonts w:eastAsia="Times New Roman"/>
          <w:b/>
          <w:color w:val="000000"/>
          <w:kern w:val="0"/>
          <w:sz w:val="24"/>
          <w:szCs w:val="21"/>
        </w:rPr>
      </w:pPr>
      <w:bookmarkStart w:id="1" w:name="_Hlk44921484"/>
      <w:bookmarkStart w:id="2" w:name="_Hlk52383584"/>
      <w:r w:rsidRPr="00A3398F">
        <w:rPr>
          <w:b/>
          <w:color w:val="000000"/>
          <w:kern w:val="0"/>
          <w:sz w:val="24"/>
        </w:rPr>
        <w:t>4</w:t>
      </w:r>
      <w:r w:rsidRPr="00A3398F">
        <w:rPr>
          <w:rFonts w:eastAsia="Times New Roman"/>
          <w:b/>
          <w:color w:val="000000"/>
          <w:kern w:val="0"/>
          <w:sz w:val="24"/>
        </w:rPr>
        <w:t>.</w:t>
      </w:r>
      <w:r w:rsidRPr="00A3398F">
        <w:rPr>
          <w:b/>
          <w:color w:val="000000"/>
          <w:kern w:val="0"/>
          <w:sz w:val="24"/>
        </w:rPr>
        <w:t xml:space="preserve">1.1 </w:t>
      </w:r>
      <w:r w:rsidRPr="00A3398F">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EE1749" w:rsidRPr="00A3398F" w:rsidTr="00EE1749">
        <w:tc>
          <w:tcPr>
            <w:tcW w:w="959"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资产净值</w:t>
            </w:r>
            <w:r w:rsidRPr="00A3398F">
              <w:rPr>
                <w:rFonts w:eastAsiaTheme="minorEastAsia"/>
                <w:color w:val="000000"/>
                <w:szCs w:val="21"/>
              </w:rPr>
              <w:t>(</w:t>
            </w:r>
            <w:r w:rsidRPr="00A3398F">
              <w:rPr>
                <w:rFonts w:eastAsiaTheme="minorEastAsia"/>
                <w:color w:val="000000"/>
                <w:szCs w:val="21"/>
              </w:rPr>
              <w:t>元</w:t>
            </w:r>
            <w:r w:rsidRPr="00A3398F">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任职时间</w:t>
            </w:r>
          </w:p>
        </w:tc>
      </w:tr>
      <w:tr w:rsidR="00EE1749" w:rsidRPr="00A3398F" w:rsidTr="00EE1749">
        <w:tc>
          <w:tcPr>
            <w:tcW w:w="959" w:type="dxa"/>
            <w:vMerge w:val="restart"/>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9</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8,269,898,674.74</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2008-03-08</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31,398,792.44</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2021-07-09</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w:t>
            </w:r>
          </w:p>
        </w:tc>
      </w:tr>
      <w:tr w:rsidR="00EE1749" w:rsidRPr="00A3398F" w:rsidTr="00EE1749">
        <w:tc>
          <w:tcPr>
            <w:tcW w:w="9286" w:type="dxa"/>
            <w:vMerge/>
            <w:tcBorders>
              <w:top w:val="single" w:sz="4" w:space="0" w:color="auto"/>
              <w:left w:val="single" w:sz="4" w:space="0" w:color="auto"/>
              <w:bottom w:val="single" w:sz="4" w:space="0" w:color="auto"/>
              <w:right w:val="single" w:sz="4" w:space="0" w:color="auto"/>
            </w:tcBorders>
            <w:vAlign w:val="center"/>
            <w:hideMark/>
          </w:tcPr>
          <w:p w:rsidR="00EE1749" w:rsidRPr="00A3398F" w:rsidRDefault="00EE174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10</w:t>
            </w:r>
          </w:p>
        </w:tc>
        <w:tc>
          <w:tcPr>
            <w:tcW w:w="1843" w:type="dxa"/>
            <w:tcBorders>
              <w:top w:val="single" w:sz="4" w:space="0" w:color="auto"/>
              <w:left w:val="single" w:sz="4" w:space="0" w:color="auto"/>
              <w:bottom w:val="single" w:sz="4" w:space="0" w:color="auto"/>
              <w:right w:val="single" w:sz="4" w:space="0" w:color="auto"/>
            </w:tcBorders>
            <w:hideMark/>
          </w:tcPr>
          <w:p w:rsidR="00EE1749" w:rsidRPr="00A3398F" w:rsidRDefault="00EE1749">
            <w:pPr>
              <w:spacing w:line="288" w:lineRule="auto"/>
              <w:jc w:val="left"/>
              <w:rPr>
                <w:rFonts w:eastAsiaTheme="minorEastAsia"/>
                <w:color w:val="000000"/>
                <w:szCs w:val="21"/>
              </w:rPr>
            </w:pPr>
            <w:r w:rsidRPr="00A3398F">
              <w:rPr>
                <w:rFonts w:eastAsiaTheme="minorEastAsia"/>
                <w:color w:val="000000"/>
                <w:szCs w:val="21"/>
              </w:rPr>
              <w:t>8,301,297,467.18</w:t>
            </w:r>
          </w:p>
        </w:tc>
        <w:tc>
          <w:tcPr>
            <w:tcW w:w="1381" w:type="dxa"/>
            <w:tcBorders>
              <w:top w:val="single" w:sz="4" w:space="0" w:color="auto"/>
              <w:left w:val="single" w:sz="4" w:space="0" w:color="auto"/>
              <w:bottom w:val="single" w:sz="4" w:space="0" w:color="auto"/>
              <w:right w:val="single" w:sz="4" w:space="0" w:color="auto"/>
            </w:tcBorders>
          </w:tcPr>
          <w:p w:rsidR="00EE1749" w:rsidRPr="00A3398F" w:rsidRDefault="00EE1749">
            <w:pPr>
              <w:spacing w:line="288" w:lineRule="auto"/>
              <w:jc w:val="left"/>
              <w:rPr>
                <w:rFonts w:eastAsiaTheme="minorEastAsia"/>
                <w:color w:val="000000"/>
                <w:szCs w:val="21"/>
              </w:rPr>
            </w:pPr>
          </w:p>
        </w:tc>
      </w:tr>
      <w:bookmarkEnd w:id="2"/>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F077D2" w:rsidRPr="00A3398F">
        <w:rPr>
          <w:rFonts w:eastAsiaTheme="minorEastAsia"/>
          <w:b/>
          <w:color w:val="000000" w:themeColor="text1"/>
          <w:kern w:val="0"/>
          <w:sz w:val="24"/>
        </w:rPr>
        <w:t>2</w:t>
      </w:r>
      <w:r w:rsidR="00A32FDA" w:rsidRPr="00A3398F">
        <w:rPr>
          <w:rFonts w:eastAsiaTheme="minorEastAsia"/>
          <w:b/>
          <w:color w:val="000000" w:themeColor="text1"/>
          <w:kern w:val="0"/>
          <w:sz w:val="24"/>
        </w:rPr>
        <w:t xml:space="preserve"> </w:t>
      </w:r>
      <w:r w:rsidRPr="00A3398F">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131"/>
        <w:gridCol w:w="1505"/>
        <w:gridCol w:w="684"/>
        <w:gridCol w:w="5193"/>
      </w:tblGrid>
      <w:tr w:rsidR="008277FF" w:rsidRPr="00A3398F" w:rsidTr="00797DD2">
        <w:tc>
          <w:tcPr>
            <w:tcW w:w="2129"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姓名</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在境外投资顾问所任职务</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证券从业年限</w:t>
            </w:r>
          </w:p>
        </w:tc>
        <w:tc>
          <w:tcPr>
            <w:tcW w:w="2128" w:type="dxa"/>
            <w:vAlign w:val="center"/>
          </w:tcPr>
          <w:p w:rsidR="004061D9" w:rsidRPr="00A3398F"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说明</w:t>
            </w:r>
          </w:p>
        </w:tc>
      </w:tr>
      <w:tr w:rsidR="00233BAF">
        <w:tc>
          <w:tcPr>
            <w:tcW w:w="0" w:type="auto"/>
            <w:vAlign w:val="center"/>
          </w:tcPr>
          <w:p w:rsidR="00233BAF" w:rsidRDefault="00857069">
            <w:pPr>
              <w:jc w:val="center"/>
            </w:pPr>
            <w:r>
              <w:rPr>
                <w:rFonts w:eastAsiaTheme="minorEastAsia"/>
                <w:color w:val="000000" w:themeColor="text1"/>
                <w:szCs w:val="21"/>
              </w:rPr>
              <w:t>Leon Goldfeld</w:t>
            </w:r>
          </w:p>
        </w:tc>
        <w:tc>
          <w:tcPr>
            <w:tcW w:w="0" w:type="auto"/>
            <w:vAlign w:val="center"/>
          </w:tcPr>
          <w:p w:rsidR="00233BAF" w:rsidRDefault="00857069">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董事总经理，多资产解决方案部资深投资组合经理</w:t>
            </w:r>
          </w:p>
        </w:tc>
        <w:tc>
          <w:tcPr>
            <w:tcW w:w="0" w:type="auto"/>
            <w:vAlign w:val="center"/>
          </w:tcPr>
          <w:p w:rsidR="00233BAF" w:rsidRDefault="00857069">
            <w:pPr>
              <w:jc w:val="center"/>
            </w:pPr>
            <w:r>
              <w:rPr>
                <w:rFonts w:eastAsiaTheme="minorEastAsia"/>
                <w:color w:val="000000" w:themeColor="text1"/>
                <w:szCs w:val="21"/>
              </w:rPr>
              <w:t>36</w:t>
            </w:r>
            <w:r>
              <w:rPr>
                <w:rFonts w:eastAsiaTheme="minorEastAsia"/>
                <w:color w:val="000000" w:themeColor="text1"/>
                <w:szCs w:val="21"/>
              </w:rPr>
              <w:t>年</w:t>
            </w:r>
          </w:p>
        </w:tc>
        <w:tc>
          <w:tcPr>
            <w:tcW w:w="0" w:type="auto"/>
            <w:vAlign w:val="center"/>
          </w:tcPr>
          <w:p w:rsidR="00233BAF" w:rsidRDefault="00857069">
            <w:pPr>
              <w:jc w:val="left"/>
            </w:pPr>
            <w:r>
              <w:rPr>
                <w:rFonts w:eastAsiaTheme="minorEastAsia"/>
                <w:color w:val="000000" w:themeColor="text1"/>
                <w:szCs w:val="21"/>
              </w:rPr>
              <w:t xml:space="preserve">Leon Goldfeld </w:t>
            </w:r>
            <w:r>
              <w:rPr>
                <w:rFonts w:eastAsiaTheme="minorEastAsia"/>
                <w:color w:val="000000" w:themeColor="text1"/>
                <w:szCs w:val="21"/>
              </w:rPr>
              <w:t>（高礼行），董事总经理，摩根资产管理多资产解决方案部资深投资组合经理，常驻香港。加入摩根资产管理前，</w:t>
            </w:r>
            <w:r>
              <w:rPr>
                <w:rFonts w:eastAsiaTheme="minorEastAsia"/>
                <w:color w:val="000000" w:themeColor="text1"/>
                <w:szCs w:val="21"/>
              </w:rPr>
              <w:t>Leon</w:t>
            </w:r>
            <w:r>
              <w:rPr>
                <w:rFonts w:eastAsiaTheme="minorEastAsia"/>
                <w:color w:val="000000" w:themeColor="text1"/>
                <w:szCs w:val="21"/>
              </w:rPr>
              <w:t>曾任东方汇理（香港）副首席投资官及亚洲多资产投资部总监，高盛私人财富管理公司投资策略部董事总经理，汇丰全球资产管理（香港）首席投资官，以及安盛投资管理香港地区首席投资官。</w:t>
            </w:r>
          </w:p>
          <w:p w:rsidR="00233BAF" w:rsidRDefault="00857069">
            <w:pPr>
              <w:jc w:val="left"/>
            </w:pPr>
            <w:r>
              <w:rPr>
                <w:rFonts w:eastAsiaTheme="minorEastAsia"/>
                <w:color w:val="000000" w:themeColor="text1"/>
                <w:szCs w:val="21"/>
              </w:rPr>
              <w:t>Leon</w:t>
            </w:r>
            <w:r>
              <w:rPr>
                <w:rFonts w:eastAsiaTheme="minorEastAsia"/>
                <w:color w:val="000000" w:themeColor="text1"/>
                <w:szCs w:val="21"/>
              </w:rPr>
              <w:t>拥有墨尔本莫纳什大学计算机科学、会计与经济学专业的学士学位，并为一名特许金融分析师。</w:t>
            </w:r>
          </w:p>
        </w:tc>
      </w:tr>
    </w:tbl>
    <w:p w:rsidR="00FB47E0" w:rsidRPr="00A3398F"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A70E2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A32FDA" w:rsidRPr="00A3398F">
        <w:rPr>
          <w:rFonts w:eastAsiaTheme="minorEastAsia"/>
          <w:b/>
          <w:color w:val="000000" w:themeColor="text1"/>
          <w:kern w:val="0"/>
          <w:sz w:val="24"/>
        </w:rPr>
        <w:t>3</w:t>
      </w:r>
      <w:r w:rsidR="003508B0" w:rsidRPr="00A3398F">
        <w:rPr>
          <w:b/>
          <w:color w:val="000000"/>
          <w:sz w:val="24"/>
          <w:shd w:val="clear" w:color="auto" w:fill="FFFFFF"/>
        </w:rPr>
        <w:t>管理人对报告期内本基金运作遵规守信情况的说明</w:t>
      </w:r>
    </w:p>
    <w:p w:rsidR="00363E15" w:rsidRPr="00A3398F" w:rsidRDefault="00363E15"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76518F" w:rsidRPr="00A3398F"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3398F" w:rsidRDefault="0076518F" w:rsidP="00A70E2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4.</w:t>
      </w:r>
      <w:r w:rsidR="00A32FDA" w:rsidRPr="00A3398F">
        <w:rPr>
          <w:rFonts w:eastAsiaTheme="minorEastAsia"/>
          <w:b/>
          <w:color w:val="000000" w:themeColor="text1"/>
          <w:kern w:val="0"/>
          <w:sz w:val="24"/>
        </w:rPr>
        <w:t>4</w:t>
      </w:r>
      <w:r w:rsidRPr="00A3398F">
        <w:rPr>
          <w:rFonts w:eastAsiaTheme="minorEastAsia"/>
          <w:b/>
          <w:color w:val="000000" w:themeColor="text1"/>
          <w:kern w:val="0"/>
          <w:sz w:val="24"/>
        </w:rPr>
        <w:t xml:space="preserve"> </w:t>
      </w:r>
      <w:r w:rsidRPr="00A3398F">
        <w:rPr>
          <w:rFonts w:eastAsiaTheme="minorEastAsia"/>
          <w:b/>
          <w:color w:val="000000" w:themeColor="text1"/>
          <w:kern w:val="0"/>
          <w:sz w:val="24"/>
        </w:rPr>
        <w:t>公平交易专项说明</w:t>
      </w:r>
    </w:p>
    <w:p w:rsidR="00AB42E2" w:rsidRPr="00A3398F" w:rsidRDefault="00AB42E2" w:rsidP="00A70E23">
      <w:pPr>
        <w:spacing w:line="360" w:lineRule="auto"/>
        <w:rPr>
          <w:rFonts w:eastAsiaTheme="minorEastAsia"/>
          <w:color w:val="000000" w:themeColor="text1"/>
          <w:sz w:val="24"/>
        </w:rPr>
      </w:pPr>
      <w:r w:rsidRPr="00A3398F">
        <w:rPr>
          <w:rFonts w:eastAsiaTheme="minorEastAsia"/>
          <w:color w:val="000000" w:themeColor="text1"/>
          <w:sz w:val="24"/>
        </w:rPr>
        <w:t>4.</w:t>
      </w:r>
      <w:r w:rsidR="00A32FDA" w:rsidRPr="00A3398F">
        <w:rPr>
          <w:rFonts w:eastAsiaTheme="minorEastAsia"/>
          <w:color w:val="000000" w:themeColor="text1"/>
          <w:sz w:val="24"/>
        </w:rPr>
        <w:t>4.1</w:t>
      </w:r>
      <w:r w:rsidRPr="00A3398F">
        <w:rPr>
          <w:rFonts w:eastAsiaTheme="minorEastAsia"/>
          <w:color w:val="000000" w:themeColor="text1"/>
          <w:sz w:val="24"/>
        </w:rPr>
        <w:t>公平交易制度的执行情况</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w:t>
      </w:r>
      <w:r>
        <w:rPr>
          <w:rFonts w:eastAsiaTheme="minorEastAsia"/>
          <w:color w:val="000000" w:themeColor="text1"/>
          <w:szCs w:val="21"/>
        </w:rPr>
        <w:lastRenderedPageBreak/>
        <w:t>保本公司管理的不同投资组合在授权、研究分析、投资决策、交易执行、业绩评估等投资管理活动相关的环节均得到公平对待。</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3398F" w:rsidRDefault="001F3C28"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3398F" w:rsidRDefault="00AB42E2" w:rsidP="00A70E23">
      <w:pPr>
        <w:spacing w:line="360" w:lineRule="auto"/>
        <w:rPr>
          <w:rFonts w:eastAsiaTheme="minorEastAsia"/>
          <w:color w:val="000000" w:themeColor="text1"/>
          <w:sz w:val="24"/>
        </w:rPr>
      </w:pPr>
      <w:r w:rsidRPr="00A3398F">
        <w:rPr>
          <w:rFonts w:eastAsiaTheme="minorEastAsia"/>
          <w:color w:val="000000" w:themeColor="text1"/>
          <w:sz w:val="24"/>
        </w:rPr>
        <w:t>4.</w:t>
      </w:r>
      <w:r w:rsidR="00A32FDA" w:rsidRPr="00A3398F">
        <w:rPr>
          <w:rFonts w:eastAsiaTheme="minorEastAsia"/>
          <w:color w:val="000000" w:themeColor="text1"/>
          <w:sz w:val="24"/>
        </w:rPr>
        <w:t>4</w:t>
      </w:r>
      <w:r w:rsidRPr="00A3398F">
        <w:rPr>
          <w:rFonts w:eastAsiaTheme="minorEastAsia"/>
          <w:color w:val="000000" w:themeColor="text1"/>
          <w:sz w:val="24"/>
        </w:rPr>
        <w:t>.</w:t>
      </w:r>
      <w:r w:rsidR="00A32FDA" w:rsidRPr="00A3398F">
        <w:rPr>
          <w:rFonts w:eastAsiaTheme="minorEastAsia"/>
          <w:color w:val="000000" w:themeColor="text1"/>
          <w:sz w:val="24"/>
        </w:rPr>
        <w:t>2</w:t>
      </w:r>
      <w:r w:rsidRPr="00A3398F">
        <w:rPr>
          <w:rFonts w:eastAsiaTheme="minorEastAsia"/>
          <w:color w:val="000000" w:themeColor="text1"/>
          <w:sz w:val="24"/>
        </w:rPr>
        <w:t>异常交易行为的专项说明</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3398F" w:rsidRDefault="001F3C28" w:rsidP="00797DD2">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所有投资组合参与的交易所公开竞价同日反向交易成交较少的单边交易量超过该证券当日成交量的</w:t>
      </w:r>
      <w:r w:rsidRPr="00A3398F">
        <w:rPr>
          <w:rFonts w:eastAsiaTheme="minorEastAsia"/>
          <w:color w:val="000000" w:themeColor="text1"/>
          <w:szCs w:val="21"/>
        </w:rPr>
        <w:t>5%</w:t>
      </w:r>
      <w:r w:rsidRPr="00A3398F">
        <w:rPr>
          <w:rFonts w:eastAsiaTheme="minorEastAsia"/>
          <w:color w:val="000000" w:themeColor="text1"/>
          <w:szCs w:val="21"/>
        </w:rPr>
        <w:t>的情形：无。</w:t>
      </w:r>
    </w:p>
    <w:p w:rsidR="0076518F" w:rsidRPr="00A3398F" w:rsidRDefault="0076518F" w:rsidP="00A70E23">
      <w:pPr>
        <w:autoSpaceDE w:val="0"/>
        <w:autoSpaceDN w:val="0"/>
        <w:adjustRightInd w:val="0"/>
        <w:spacing w:line="360" w:lineRule="auto"/>
        <w:jc w:val="left"/>
        <w:rPr>
          <w:rFonts w:eastAsiaTheme="minorEastAsia"/>
          <w:color w:val="000000" w:themeColor="text1"/>
          <w:kern w:val="0"/>
          <w:sz w:val="24"/>
        </w:rPr>
      </w:pPr>
    </w:p>
    <w:p w:rsidR="00EF4716" w:rsidRPr="00A3398F" w:rsidRDefault="00EF4716" w:rsidP="00EF4716">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4.5 </w:t>
      </w:r>
      <w:r w:rsidRPr="00A3398F">
        <w:rPr>
          <w:rFonts w:eastAsiaTheme="minorEastAsia"/>
          <w:b/>
          <w:color w:val="000000" w:themeColor="text1"/>
          <w:kern w:val="0"/>
          <w:sz w:val="24"/>
        </w:rPr>
        <w:t>报告期内基金的投资策略和业绩表现说明</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美国经济持续走强，欧洲经济活动有所回升的迹象，因此主要市场股市指数上涨。美国经济具有弹性，加上通胀压力尚未完全消散的迹象，表明美联储降息的时间点可能会推迟。因此，鉴于降息的时间表后延，包括美国国债在内的主要债券市场价格回落。</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曾经在去年年底的时候，市场对美联储降息的次数和幅度预期过于乐观，远超美联储点阵图的指引，</w:t>
      </w:r>
      <w:r>
        <w:rPr>
          <w:rFonts w:eastAsiaTheme="minorEastAsia"/>
          <w:color w:val="000000" w:themeColor="text1"/>
          <w:szCs w:val="21"/>
        </w:rPr>
        <w:t>2024</w:t>
      </w:r>
      <w:r>
        <w:rPr>
          <w:rFonts w:eastAsiaTheme="minorEastAsia"/>
          <w:color w:val="000000" w:themeColor="text1"/>
          <w:szCs w:val="21"/>
        </w:rPr>
        <w:t>年伊始，市场对于美联储的利率政策预期开始回归谨慎。美联储在报告期内召开的议息会议，如市场预料地按兵不动，会后的沟通内容维持</w:t>
      </w:r>
      <w:r>
        <w:rPr>
          <w:rFonts w:eastAsiaTheme="minorEastAsia"/>
          <w:color w:val="000000" w:themeColor="text1"/>
          <w:szCs w:val="21"/>
        </w:rPr>
        <w:t>“</w:t>
      </w:r>
      <w:r>
        <w:rPr>
          <w:rFonts w:eastAsiaTheme="minorEastAsia"/>
          <w:color w:val="000000" w:themeColor="text1"/>
          <w:szCs w:val="21"/>
        </w:rPr>
        <w:t>数据依赖</w:t>
      </w:r>
      <w:r>
        <w:rPr>
          <w:rFonts w:eastAsiaTheme="minorEastAsia"/>
          <w:color w:val="000000" w:themeColor="text1"/>
          <w:szCs w:val="21"/>
        </w:rPr>
        <w:t>”</w:t>
      </w:r>
      <w:r>
        <w:rPr>
          <w:rFonts w:eastAsiaTheme="minorEastAsia"/>
          <w:color w:val="000000" w:themeColor="text1"/>
          <w:szCs w:val="21"/>
        </w:rPr>
        <w:t>的决策逻辑，并上调了对今年美国</w:t>
      </w:r>
      <w:r>
        <w:rPr>
          <w:rFonts w:eastAsiaTheme="minorEastAsia"/>
          <w:color w:val="000000" w:themeColor="text1"/>
          <w:szCs w:val="21"/>
        </w:rPr>
        <w:t>GDP</w:t>
      </w:r>
      <w:r>
        <w:rPr>
          <w:rFonts w:eastAsiaTheme="minorEastAsia"/>
          <w:color w:val="000000" w:themeColor="text1"/>
          <w:szCs w:val="21"/>
        </w:rPr>
        <w:t>增长预期和</w:t>
      </w:r>
      <w:r>
        <w:rPr>
          <w:rFonts w:eastAsiaTheme="minorEastAsia"/>
          <w:color w:val="000000" w:themeColor="text1"/>
          <w:szCs w:val="21"/>
        </w:rPr>
        <w:t>PCE</w:t>
      </w:r>
      <w:r>
        <w:rPr>
          <w:rFonts w:eastAsiaTheme="minorEastAsia"/>
          <w:color w:val="000000" w:themeColor="text1"/>
          <w:szCs w:val="21"/>
        </w:rPr>
        <w:t>涨幅预期。已公布的通胀数据和就业数据显示美国经济增长的韧性。</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本基金的组合配置与上季度相比并没有大的差异，维持股债比</w:t>
      </w:r>
      <w:r>
        <w:rPr>
          <w:rFonts w:eastAsiaTheme="minorEastAsia"/>
          <w:color w:val="000000" w:themeColor="text1"/>
          <w:szCs w:val="21"/>
        </w:rPr>
        <w:t>60:40</w:t>
      </w:r>
      <w:r>
        <w:rPr>
          <w:rFonts w:eastAsiaTheme="minorEastAsia"/>
          <w:color w:val="000000" w:themeColor="text1"/>
          <w:szCs w:val="21"/>
        </w:rPr>
        <w:t>的配置，对权益资产整体标配，略超配日本，对债券资产超配，关注利率债和中长久期。</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美国通胀下降的趋势没有改变，美联储在今年降息的宽松政策预期仍然是市场主流观点。美国经济软着陆的可能性越来越高，而非经济硬着陆或不着陆的情景。在美联储真正决定降息之前，市场或将呈现震荡波动。今年是国际大选年，包括美国在内的多个国家进行大选，因此对于地缘政治超出预期从而影响资产价格的情况，要保持密切关注，并且</w:t>
      </w:r>
      <w:r>
        <w:rPr>
          <w:rFonts w:eastAsiaTheme="minorEastAsia"/>
          <w:color w:val="000000" w:themeColor="text1"/>
          <w:szCs w:val="21"/>
        </w:rPr>
        <w:lastRenderedPageBreak/>
        <w:t>在投资理念上保持风险意识，表现在资产配置上保持灵活性和分散。</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w:t>
      </w:r>
      <w:r w:rsidR="00896B5B">
        <w:rPr>
          <w:rFonts w:eastAsiaTheme="minorEastAsia"/>
          <w:color w:val="000000" w:themeColor="text1"/>
          <w:szCs w:val="21"/>
        </w:rPr>
        <w:t>80</w:t>
      </w:r>
      <w:r>
        <w:rPr>
          <w:rFonts w:eastAsiaTheme="minorEastAsia"/>
          <w:color w:val="000000" w:themeColor="text1"/>
          <w:szCs w:val="21"/>
        </w:rPr>
        <w:t>%</w:t>
      </w:r>
      <w:r>
        <w:rPr>
          <w:rFonts w:eastAsiaTheme="minorEastAsia"/>
          <w:color w:val="000000" w:themeColor="text1"/>
          <w:szCs w:val="21"/>
        </w:rPr>
        <w:t>，同期业绩比较基准收益率为</w:t>
      </w:r>
      <w:r>
        <w:rPr>
          <w:rFonts w:eastAsiaTheme="minorEastAsia"/>
          <w:color w:val="000000" w:themeColor="text1"/>
          <w:szCs w:val="21"/>
        </w:rPr>
        <w:t>:</w:t>
      </w:r>
      <w:r w:rsidR="00896B5B">
        <w:rPr>
          <w:rFonts w:eastAsiaTheme="minorEastAsia"/>
          <w:color w:val="000000" w:themeColor="text1"/>
          <w:szCs w:val="21"/>
        </w:rPr>
        <w:t>6.07</w:t>
      </w:r>
      <w:r>
        <w:rPr>
          <w:rFonts w:eastAsiaTheme="minorEastAsia"/>
          <w:color w:val="000000" w:themeColor="text1"/>
          <w:szCs w:val="21"/>
        </w:rPr>
        <w:t>%</w:t>
      </w:r>
    </w:p>
    <w:p w:rsidR="00EF4716" w:rsidRPr="00A3398F" w:rsidRDefault="00EF4716" w:rsidP="00EF4716">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本报告期本基金</w:t>
      </w:r>
      <w:r w:rsidRPr="00A3398F">
        <w:rPr>
          <w:rFonts w:eastAsiaTheme="minorEastAsia"/>
          <w:color w:val="000000" w:themeColor="text1"/>
          <w:szCs w:val="21"/>
        </w:rPr>
        <w:t>C</w:t>
      </w:r>
      <w:r w:rsidRPr="00A3398F">
        <w:rPr>
          <w:rFonts w:eastAsiaTheme="minorEastAsia"/>
          <w:color w:val="000000" w:themeColor="text1"/>
          <w:szCs w:val="21"/>
        </w:rPr>
        <w:t>份额净值增长率为</w:t>
      </w:r>
      <w:r w:rsidRPr="00A3398F">
        <w:rPr>
          <w:rFonts w:eastAsiaTheme="minorEastAsia"/>
          <w:color w:val="000000" w:themeColor="text1"/>
          <w:szCs w:val="21"/>
        </w:rPr>
        <w:t>:</w:t>
      </w:r>
      <w:r w:rsidR="00896B5B">
        <w:rPr>
          <w:rFonts w:eastAsiaTheme="minorEastAsia"/>
          <w:color w:val="000000" w:themeColor="text1"/>
          <w:szCs w:val="21"/>
        </w:rPr>
        <w:t>5.74</w:t>
      </w:r>
      <w:r w:rsidRPr="00A3398F">
        <w:rPr>
          <w:rFonts w:eastAsiaTheme="minorEastAsia"/>
          <w:color w:val="000000" w:themeColor="text1"/>
          <w:szCs w:val="21"/>
        </w:rPr>
        <w:t>%</w:t>
      </w:r>
      <w:r w:rsidRPr="00A3398F">
        <w:rPr>
          <w:rFonts w:eastAsiaTheme="minorEastAsia"/>
          <w:color w:val="000000" w:themeColor="text1"/>
          <w:szCs w:val="21"/>
        </w:rPr>
        <w:t>，同期业绩比较基准收益率为</w:t>
      </w:r>
      <w:r w:rsidRPr="00A3398F">
        <w:rPr>
          <w:rFonts w:eastAsiaTheme="minorEastAsia"/>
          <w:color w:val="000000" w:themeColor="text1"/>
          <w:szCs w:val="21"/>
        </w:rPr>
        <w:t>:</w:t>
      </w:r>
      <w:r w:rsidR="00896B5B">
        <w:rPr>
          <w:rFonts w:eastAsiaTheme="minorEastAsia"/>
          <w:color w:val="000000" w:themeColor="text1"/>
          <w:szCs w:val="21"/>
        </w:rPr>
        <w:t>6.07</w:t>
      </w:r>
      <w:r w:rsidRPr="00A3398F">
        <w:rPr>
          <w:rFonts w:eastAsiaTheme="minorEastAsia"/>
          <w:color w:val="000000" w:themeColor="text1"/>
          <w:szCs w:val="21"/>
        </w:rPr>
        <w:t>%</w:t>
      </w:r>
    </w:p>
    <w:p w:rsidR="00C736BB" w:rsidRPr="00A3398F" w:rsidRDefault="00C736BB" w:rsidP="00A70E23">
      <w:pPr>
        <w:spacing w:line="360" w:lineRule="auto"/>
        <w:ind w:firstLineChars="200" w:firstLine="480"/>
        <w:rPr>
          <w:rFonts w:eastAsiaTheme="minorEastAsia"/>
          <w:color w:val="000000" w:themeColor="text1"/>
          <w:sz w:val="24"/>
        </w:rPr>
      </w:pPr>
    </w:p>
    <w:p w:rsidR="00D9766F" w:rsidRPr="00A3398F" w:rsidRDefault="00D9766F" w:rsidP="00D9766F">
      <w:pPr>
        <w:spacing w:line="360" w:lineRule="auto"/>
        <w:rPr>
          <w:rFonts w:eastAsiaTheme="minorEastAsia"/>
          <w:color w:val="000000" w:themeColor="text1"/>
          <w:sz w:val="24"/>
        </w:rPr>
      </w:pPr>
      <w:r w:rsidRPr="00A3398F">
        <w:rPr>
          <w:rFonts w:eastAsiaTheme="minorEastAsia"/>
          <w:b/>
          <w:color w:val="000000" w:themeColor="text1"/>
          <w:kern w:val="0"/>
          <w:sz w:val="24"/>
        </w:rPr>
        <w:t>4.6</w:t>
      </w:r>
      <w:r w:rsidRPr="00A3398F">
        <w:rPr>
          <w:rFonts w:eastAsiaTheme="minorEastAsia"/>
          <w:b/>
          <w:color w:val="000000" w:themeColor="text1"/>
          <w:kern w:val="0"/>
          <w:sz w:val="24"/>
        </w:rPr>
        <w:t>报告期内基金持有人数或基金资产净值预警说明</w:t>
      </w:r>
    </w:p>
    <w:p w:rsidR="00D9766F" w:rsidRPr="00A3398F" w:rsidRDefault="00D9766F" w:rsidP="00D9766F">
      <w:pPr>
        <w:spacing w:line="360" w:lineRule="auto"/>
        <w:ind w:firstLineChars="200" w:firstLine="420"/>
        <w:rPr>
          <w:rFonts w:eastAsiaTheme="minorEastAsia"/>
          <w:color w:val="000000" w:themeColor="text1"/>
          <w:szCs w:val="21"/>
        </w:rPr>
      </w:pPr>
      <w:r w:rsidRPr="00A3398F">
        <w:rPr>
          <w:rFonts w:eastAsiaTheme="minorEastAsia"/>
          <w:color w:val="000000" w:themeColor="text1"/>
          <w:kern w:val="0"/>
          <w:szCs w:val="21"/>
        </w:rPr>
        <w:t>无。</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§5  </w:t>
      </w:r>
      <w:r w:rsidRPr="00A3398F">
        <w:rPr>
          <w:rFonts w:eastAsiaTheme="minorEastAsia"/>
          <w:color w:val="000000" w:themeColor="text1"/>
          <w:kern w:val="0"/>
          <w:sz w:val="24"/>
          <w:szCs w:val="24"/>
        </w:rPr>
        <w:t>投资组合报告</w:t>
      </w:r>
    </w:p>
    <w:p w:rsidR="0076518F" w:rsidRPr="00A3398F" w:rsidRDefault="0076518F"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 xml:space="preserve">5.1 </w:t>
      </w:r>
      <w:r w:rsidRPr="00A3398F">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3398F" w:rsidTr="00592EFF">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序号</w:t>
            </w:r>
          </w:p>
        </w:tc>
        <w:tc>
          <w:tcPr>
            <w:tcW w:w="4253"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项目</w:t>
            </w:r>
          </w:p>
        </w:tc>
        <w:tc>
          <w:tcPr>
            <w:tcW w:w="2835"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金额</w:t>
            </w:r>
            <w:r w:rsidRPr="00A3398F">
              <w:rPr>
                <w:rFonts w:eastAsiaTheme="minorEastAsia"/>
                <w:color w:val="000000" w:themeColor="text1"/>
                <w:szCs w:val="21"/>
              </w:rPr>
              <w:t>(</w:t>
            </w:r>
            <w:r w:rsidR="002655D4" w:rsidRPr="00A3398F">
              <w:rPr>
                <w:rFonts w:eastAsiaTheme="minorEastAsia"/>
                <w:color w:val="000000" w:themeColor="text1"/>
                <w:szCs w:val="21"/>
              </w:rPr>
              <w:t>人民币</w:t>
            </w:r>
            <w:r w:rsidRPr="00A3398F">
              <w:rPr>
                <w:rFonts w:eastAsiaTheme="minorEastAsia"/>
                <w:color w:val="000000" w:themeColor="text1"/>
                <w:szCs w:val="21"/>
              </w:rPr>
              <w:t>元</w:t>
            </w:r>
            <w:r w:rsidRPr="00A3398F">
              <w:rPr>
                <w:rFonts w:eastAsiaTheme="minorEastAsia"/>
                <w:color w:val="000000" w:themeColor="text1"/>
                <w:szCs w:val="21"/>
              </w:rPr>
              <w:t>)</w:t>
            </w:r>
          </w:p>
        </w:tc>
        <w:tc>
          <w:tcPr>
            <w:tcW w:w="1559"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占基金总资产的比例</w:t>
            </w: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1</w:t>
            </w:r>
          </w:p>
        </w:tc>
        <w:tc>
          <w:tcPr>
            <w:tcW w:w="4253" w:type="dxa"/>
            <w:shd w:val="clear" w:color="auto" w:fill="auto"/>
            <w:vAlign w:val="center"/>
          </w:tcPr>
          <w:p w:rsidR="00363E15" w:rsidRPr="00A3398F" w:rsidRDefault="00363E15"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权益投资</w:t>
            </w:r>
          </w:p>
        </w:tc>
        <w:tc>
          <w:tcPr>
            <w:tcW w:w="2835"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363E15" w:rsidRPr="00A3398F"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3398F" w:rsidRDefault="00363E15"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w:t>
            </w:r>
            <w:r w:rsidR="00E462F4" w:rsidRPr="00A3398F">
              <w:rPr>
                <w:rFonts w:eastAsiaTheme="minorEastAsia"/>
                <w:color w:val="000000" w:themeColor="text1"/>
                <w:szCs w:val="21"/>
              </w:rPr>
              <w:t>普通股</w:t>
            </w:r>
          </w:p>
        </w:tc>
        <w:tc>
          <w:tcPr>
            <w:tcW w:w="2835"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363E15" w:rsidRPr="00A3398F" w:rsidRDefault="00363E15"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存托凭证</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CE4499" w:rsidRPr="00A3398F"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3398F" w:rsidRDefault="00CE4499"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优先股</w:t>
            </w:r>
          </w:p>
        </w:tc>
        <w:tc>
          <w:tcPr>
            <w:tcW w:w="2835"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CE4499" w:rsidRPr="00A3398F"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3398F" w:rsidRDefault="00CE4499" w:rsidP="00877D98">
            <w:pPr>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房地产信托</w:t>
            </w:r>
          </w:p>
        </w:tc>
        <w:tc>
          <w:tcPr>
            <w:tcW w:w="2835"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CE4499" w:rsidRPr="00A3398F" w:rsidRDefault="00CE449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adjustRightInd w:val="0"/>
              <w:snapToGrid w:val="0"/>
              <w:spacing w:line="400" w:lineRule="exact"/>
              <w:jc w:val="center"/>
              <w:rPr>
                <w:rFonts w:eastAsiaTheme="minorEastAsia"/>
                <w:color w:val="000000" w:themeColor="text1"/>
                <w:szCs w:val="21"/>
              </w:rPr>
            </w:pPr>
            <w:r w:rsidRPr="00A3398F">
              <w:rPr>
                <w:rFonts w:eastAsiaTheme="minorEastAsia"/>
                <w:color w:val="000000" w:themeColor="text1"/>
                <w:szCs w:val="21"/>
              </w:rPr>
              <w:t>2</w:t>
            </w: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基金投资</w:t>
            </w:r>
          </w:p>
        </w:tc>
        <w:tc>
          <w:tcPr>
            <w:tcW w:w="2835" w:type="dxa"/>
            <w:shd w:val="clear" w:color="auto" w:fill="auto"/>
            <w:vAlign w:val="center"/>
          </w:tcPr>
          <w:p w:rsidR="00E462F4" w:rsidRPr="00A3398F" w:rsidRDefault="006C4E1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496,001,433.08</w:t>
            </w:r>
          </w:p>
        </w:tc>
        <w:tc>
          <w:tcPr>
            <w:tcW w:w="1559" w:type="dxa"/>
            <w:shd w:val="clear" w:color="auto" w:fill="auto"/>
            <w:vAlign w:val="center"/>
          </w:tcPr>
          <w:p w:rsidR="00E462F4" w:rsidRPr="00A3398F" w:rsidRDefault="006C4E1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84.38</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3</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固定收益投资</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28,798,954.07</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4.90</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其中：债券</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28,798,954.07</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4.90</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3398F">
              <w:rPr>
                <w:rFonts w:eastAsiaTheme="minorEastAsia"/>
                <w:color w:val="000000" w:themeColor="text1"/>
                <w:szCs w:val="21"/>
              </w:rPr>
              <w:t>资产支持证券</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4</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金融衍生品投资</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其中：远期</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3398F">
              <w:rPr>
                <w:rFonts w:eastAsiaTheme="minorEastAsia"/>
                <w:color w:val="000000" w:themeColor="text1"/>
                <w:szCs w:val="21"/>
              </w:rPr>
              <w:t>期货</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ind w:firstLineChars="300" w:firstLine="630"/>
              <w:rPr>
                <w:rFonts w:eastAsiaTheme="minorEastAsia"/>
                <w:color w:val="000000" w:themeColor="text1"/>
                <w:szCs w:val="21"/>
              </w:rPr>
            </w:pPr>
            <w:r w:rsidRPr="00A3398F">
              <w:rPr>
                <w:rFonts w:eastAsiaTheme="minorEastAsia"/>
                <w:color w:val="000000" w:themeColor="text1"/>
                <w:szCs w:val="21"/>
              </w:rPr>
              <w:t>期权</w:t>
            </w:r>
          </w:p>
        </w:tc>
        <w:tc>
          <w:tcPr>
            <w:tcW w:w="2835"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adjustRightInd w:val="0"/>
              <w:snapToGrid w:val="0"/>
              <w:spacing w:line="400" w:lineRule="exact"/>
              <w:ind w:firstLineChars="298" w:firstLine="626"/>
              <w:rPr>
                <w:rFonts w:eastAsiaTheme="minorEastAsia"/>
                <w:color w:val="000000" w:themeColor="text1"/>
                <w:szCs w:val="21"/>
              </w:rPr>
            </w:pPr>
            <w:r w:rsidRPr="00A3398F">
              <w:rPr>
                <w:rFonts w:eastAsiaTheme="minorEastAsia"/>
                <w:color w:val="000000" w:themeColor="text1"/>
                <w:szCs w:val="21"/>
              </w:rPr>
              <w:t>权证</w:t>
            </w:r>
          </w:p>
        </w:tc>
        <w:tc>
          <w:tcPr>
            <w:tcW w:w="2835" w:type="dxa"/>
            <w:shd w:val="clear" w:color="auto" w:fill="auto"/>
            <w:vAlign w:val="center"/>
          </w:tcPr>
          <w:p w:rsidR="00E462F4" w:rsidRPr="00A3398F" w:rsidRDefault="00664F49"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664F49"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5</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买入返售金融资产</w:t>
            </w:r>
          </w:p>
        </w:tc>
        <w:tc>
          <w:tcPr>
            <w:tcW w:w="2835" w:type="dxa"/>
            <w:shd w:val="clear" w:color="auto" w:fill="auto"/>
            <w:vAlign w:val="center"/>
          </w:tcPr>
          <w:p w:rsidR="00E462F4" w:rsidRPr="00A3398F" w:rsidRDefault="00E462F4"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877D98">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其中：买断式回购的买入返售金融资产</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adjustRightInd w:val="0"/>
              <w:snapToGrid w:val="0"/>
              <w:spacing w:line="400" w:lineRule="exact"/>
              <w:jc w:val="center"/>
              <w:rPr>
                <w:rFonts w:eastAsiaTheme="minorEastAsia"/>
                <w:color w:val="000000" w:themeColor="text1"/>
                <w:szCs w:val="21"/>
              </w:rPr>
            </w:pPr>
            <w:r w:rsidRPr="00A3398F">
              <w:rPr>
                <w:rFonts w:eastAsiaTheme="minorEastAsia"/>
                <w:color w:val="000000" w:themeColor="text1"/>
                <w:szCs w:val="21"/>
              </w:rPr>
              <w:lastRenderedPageBreak/>
              <w:t>6</w:t>
            </w:r>
          </w:p>
        </w:tc>
        <w:tc>
          <w:tcPr>
            <w:tcW w:w="4253" w:type="dxa"/>
            <w:shd w:val="clear" w:color="auto" w:fill="auto"/>
            <w:vAlign w:val="center"/>
          </w:tcPr>
          <w:p w:rsidR="00E462F4" w:rsidRPr="00A3398F" w:rsidRDefault="00E462F4" w:rsidP="00877D98">
            <w:pPr>
              <w:adjustRightInd w:val="0"/>
              <w:snapToGrid w:val="0"/>
              <w:spacing w:line="400" w:lineRule="exact"/>
              <w:rPr>
                <w:rFonts w:eastAsiaTheme="minorEastAsia"/>
                <w:color w:val="000000" w:themeColor="text1"/>
                <w:szCs w:val="21"/>
              </w:rPr>
            </w:pPr>
            <w:r w:rsidRPr="00A3398F">
              <w:rPr>
                <w:rFonts w:eastAsiaTheme="minorEastAsia"/>
                <w:color w:val="000000" w:themeColor="text1"/>
                <w:szCs w:val="21"/>
              </w:rPr>
              <w:t>货币市场工具</w:t>
            </w:r>
          </w:p>
        </w:tc>
        <w:tc>
          <w:tcPr>
            <w:tcW w:w="2835" w:type="dxa"/>
            <w:shd w:val="clear" w:color="auto" w:fill="auto"/>
            <w:vAlign w:val="center"/>
          </w:tcPr>
          <w:p w:rsidR="00E462F4" w:rsidRPr="00A3398F" w:rsidRDefault="00CE7FC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1559" w:type="dxa"/>
            <w:shd w:val="clear" w:color="auto" w:fill="auto"/>
            <w:vAlign w:val="center"/>
          </w:tcPr>
          <w:p w:rsidR="00E462F4" w:rsidRPr="00A3398F" w:rsidRDefault="00CE7FC6"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877D98">
        <w:tc>
          <w:tcPr>
            <w:tcW w:w="851" w:type="dxa"/>
            <w:shd w:val="clear" w:color="auto" w:fill="auto"/>
            <w:vAlign w:val="center"/>
          </w:tcPr>
          <w:p w:rsidR="00E462F4" w:rsidRPr="00A3398F" w:rsidRDefault="00E462F4" w:rsidP="00877D9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7</w:t>
            </w:r>
          </w:p>
        </w:tc>
        <w:tc>
          <w:tcPr>
            <w:tcW w:w="4253" w:type="dxa"/>
            <w:shd w:val="clear" w:color="auto" w:fill="auto"/>
            <w:vAlign w:val="center"/>
          </w:tcPr>
          <w:p w:rsidR="00E462F4" w:rsidRPr="00A3398F" w:rsidRDefault="00E462F4" w:rsidP="00877D98">
            <w:pPr>
              <w:spacing w:before="29" w:line="360" w:lineRule="auto"/>
              <w:ind w:left="17"/>
              <w:rPr>
                <w:rFonts w:eastAsiaTheme="minorEastAsia"/>
                <w:color w:val="000000" w:themeColor="text1"/>
                <w:szCs w:val="21"/>
              </w:rPr>
            </w:pPr>
            <w:r w:rsidRPr="00A3398F">
              <w:rPr>
                <w:rFonts w:eastAsiaTheme="minorEastAsia"/>
                <w:color w:val="000000" w:themeColor="text1"/>
                <w:szCs w:val="21"/>
              </w:rPr>
              <w:t>银行存款和结算备付金合计</w:t>
            </w:r>
          </w:p>
        </w:tc>
        <w:tc>
          <w:tcPr>
            <w:tcW w:w="2835"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58,617,939.80</w:t>
            </w:r>
          </w:p>
        </w:tc>
        <w:tc>
          <w:tcPr>
            <w:tcW w:w="1559" w:type="dxa"/>
            <w:shd w:val="clear" w:color="auto" w:fill="auto"/>
            <w:vAlign w:val="center"/>
          </w:tcPr>
          <w:p w:rsidR="00E462F4" w:rsidRPr="00A3398F" w:rsidRDefault="00E462F4" w:rsidP="00BF1DD5">
            <w:pPr>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9.97</w:t>
            </w:r>
          </w:p>
        </w:tc>
      </w:tr>
      <w:tr w:rsidR="008277FF" w:rsidRPr="00A3398F" w:rsidTr="00797DD2">
        <w:tc>
          <w:tcPr>
            <w:tcW w:w="851" w:type="dxa"/>
            <w:shd w:val="clear" w:color="auto" w:fill="auto"/>
            <w:vAlign w:val="center"/>
          </w:tcPr>
          <w:p w:rsidR="00E462F4" w:rsidRPr="00A3398F" w:rsidRDefault="00E462F4" w:rsidP="00466B17">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8</w:t>
            </w:r>
          </w:p>
        </w:tc>
        <w:tc>
          <w:tcPr>
            <w:tcW w:w="4253" w:type="dxa"/>
            <w:shd w:val="clear" w:color="auto" w:fill="auto"/>
            <w:vAlign w:val="center"/>
          </w:tcPr>
          <w:p w:rsidR="00E462F4" w:rsidRPr="00A3398F" w:rsidRDefault="00E462F4" w:rsidP="00797DD2">
            <w:pPr>
              <w:rPr>
                <w:rFonts w:eastAsiaTheme="minorEastAsia"/>
                <w:color w:val="000000" w:themeColor="text1"/>
                <w:szCs w:val="21"/>
              </w:rPr>
            </w:pPr>
            <w:r w:rsidRPr="00A3398F">
              <w:rPr>
                <w:rFonts w:eastAsiaTheme="minorEastAsia"/>
                <w:color w:val="000000" w:themeColor="text1"/>
                <w:szCs w:val="21"/>
              </w:rPr>
              <w:t>其他各项资产</w:t>
            </w:r>
          </w:p>
        </w:tc>
        <w:tc>
          <w:tcPr>
            <w:tcW w:w="2835"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4,386,417.52</w:t>
            </w:r>
          </w:p>
        </w:tc>
        <w:tc>
          <w:tcPr>
            <w:tcW w:w="1559"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0.75</w:t>
            </w:r>
          </w:p>
        </w:tc>
      </w:tr>
      <w:tr w:rsidR="008277FF" w:rsidRPr="00A3398F" w:rsidTr="00797DD2">
        <w:tc>
          <w:tcPr>
            <w:tcW w:w="851" w:type="dxa"/>
            <w:shd w:val="clear" w:color="auto" w:fill="auto"/>
            <w:vAlign w:val="center"/>
          </w:tcPr>
          <w:p w:rsidR="00E462F4" w:rsidRPr="00A3398F" w:rsidRDefault="00E462F4" w:rsidP="00466B17">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9</w:t>
            </w:r>
          </w:p>
        </w:tc>
        <w:tc>
          <w:tcPr>
            <w:tcW w:w="4253" w:type="dxa"/>
            <w:shd w:val="clear" w:color="auto" w:fill="auto"/>
            <w:vAlign w:val="center"/>
          </w:tcPr>
          <w:p w:rsidR="00E462F4" w:rsidRPr="00A3398F" w:rsidRDefault="00E462F4" w:rsidP="00797DD2">
            <w:pPr>
              <w:rPr>
                <w:rFonts w:eastAsiaTheme="minorEastAsia"/>
                <w:color w:val="000000" w:themeColor="text1"/>
                <w:szCs w:val="21"/>
              </w:rPr>
            </w:pPr>
            <w:r w:rsidRPr="00A3398F">
              <w:rPr>
                <w:rFonts w:eastAsiaTheme="minorEastAsia"/>
                <w:color w:val="000000" w:themeColor="text1"/>
                <w:szCs w:val="21"/>
              </w:rPr>
              <w:t>合计</w:t>
            </w:r>
          </w:p>
        </w:tc>
        <w:tc>
          <w:tcPr>
            <w:tcW w:w="2835"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587,804,744.47</w:t>
            </w:r>
          </w:p>
        </w:tc>
        <w:tc>
          <w:tcPr>
            <w:tcW w:w="1559" w:type="dxa"/>
            <w:shd w:val="clear" w:color="auto" w:fill="auto"/>
            <w:vAlign w:val="center"/>
          </w:tcPr>
          <w:p w:rsidR="00E462F4" w:rsidRPr="00A3398F" w:rsidRDefault="00E462F4" w:rsidP="00BF1DD5">
            <w:pPr>
              <w:jc w:val="right"/>
              <w:rPr>
                <w:rFonts w:eastAsiaTheme="minorEastAsia"/>
                <w:color w:val="000000" w:themeColor="text1"/>
                <w:szCs w:val="21"/>
              </w:rPr>
            </w:pPr>
            <w:r w:rsidRPr="00A3398F">
              <w:rPr>
                <w:rFonts w:eastAsiaTheme="minorEastAsia"/>
                <w:color w:val="000000" w:themeColor="text1"/>
                <w:szCs w:val="21"/>
              </w:rPr>
              <w:t>100.00</w:t>
            </w:r>
          </w:p>
        </w:tc>
      </w:tr>
    </w:tbl>
    <w:p w:rsidR="00F512C0" w:rsidRPr="00A3398F" w:rsidRDefault="00F512C0" w:rsidP="00363E15">
      <w:pPr>
        <w:autoSpaceDE w:val="0"/>
        <w:autoSpaceDN w:val="0"/>
        <w:adjustRightInd w:val="0"/>
        <w:spacing w:line="360" w:lineRule="auto"/>
        <w:jc w:val="left"/>
        <w:rPr>
          <w:rFonts w:eastAsiaTheme="minorEastAsia"/>
          <w:color w:val="000000" w:themeColor="text1"/>
          <w:szCs w:val="21"/>
        </w:rPr>
      </w:pPr>
    </w:p>
    <w:p w:rsidR="0076518F" w:rsidRPr="00A3398F" w:rsidRDefault="00A82C02"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2</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报告期末在各个国家（地区）证券市场的股票及存托凭证投资分布</w:t>
      </w:r>
    </w:p>
    <w:p w:rsidR="00363E15" w:rsidRPr="00A3398F" w:rsidRDefault="00363E15" w:rsidP="00363E15">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注：本报告期末本基金未持有股票和存托凭证。</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3</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报告期末按行业分类的股票及存托凭证投资组合</w:t>
      </w:r>
    </w:p>
    <w:p w:rsidR="005B6AC7" w:rsidRPr="00A3398F" w:rsidRDefault="000A521D" w:rsidP="008B6A4A">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本报告期末本基金未持有股票和存托凭证。</w:t>
      </w:r>
    </w:p>
    <w:p w:rsidR="000A521D" w:rsidRDefault="000A521D" w:rsidP="008B6A4A">
      <w:pPr>
        <w:autoSpaceDE w:val="0"/>
        <w:autoSpaceDN w:val="0"/>
        <w:adjustRightInd w:val="0"/>
        <w:spacing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kern w:val="0"/>
          <w:sz w:val="24"/>
        </w:rPr>
      </w:pPr>
      <w:r w:rsidRPr="00A3398F">
        <w:rPr>
          <w:rFonts w:eastAsiaTheme="minorEastAsia"/>
          <w:b/>
          <w:kern w:val="0"/>
          <w:sz w:val="24"/>
        </w:rPr>
        <w:t>5.</w:t>
      </w:r>
      <w:r w:rsidR="002A0FA2" w:rsidRPr="00A3398F">
        <w:rPr>
          <w:rFonts w:eastAsiaTheme="minorEastAsia"/>
          <w:b/>
          <w:kern w:val="0"/>
          <w:sz w:val="24"/>
        </w:rPr>
        <w:t>4</w:t>
      </w:r>
      <w:r w:rsidR="0076518F" w:rsidRPr="00A3398F">
        <w:rPr>
          <w:rFonts w:eastAsiaTheme="minorEastAsia"/>
          <w:b/>
          <w:kern w:val="0"/>
          <w:sz w:val="24"/>
        </w:rPr>
        <w:t xml:space="preserve"> </w:t>
      </w:r>
      <w:r w:rsidR="0076518F" w:rsidRPr="00A3398F">
        <w:rPr>
          <w:rFonts w:eastAsiaTheme="minorEastAsia"/>
          <w:b/>
          <w:kern w:val="0"/>
          <w:sz w:val="24"/>
        </w:rPr>
        <w:t>报告期末按公允价值占基金资产净值比例大小排序的前十名股票及存托凭证投资明细</w:t>
      </w:r>
    </w:p>
    <w:p w:rsidR="00B62914" w:rsidRPr="00A3398F" w:rsidRDefault="00E73C41" w:rsidP="002236BC">
      <w:pPr>
        <w:autoSpaceDE w:val="0"/>
        <w:autoSpaceDN w:val="0"/>
        <w:adjustRightInd w:val="0"/>
        <w:spacing w:line="360" w:lineRule="auto"/>
        <w:jc w:val="left"/>
        <w:rPr>
          <w:rFonts w:eastAsiaTheme="minorEastAsia"/>
          <w:szCs w:val="21"/>
        </w:rPr>
      </w:pPr>
      <w:r w:rsidRPr="00A3398F">
        <w:rPr>
          <w:rFonts w:eastAsiaTheme="minorEastAsia"/>
          <w:szCs w:val="21"/>
        </w:rPr>
        <w:t>本基金本报告期末未持有股票及存托凭证。</w:t>
      </w:r>
    </w:p>
    <w:p w:rsidR="00A3398F" w:rsidRPr="00A3398F" w:rsidRDefault="00A3398F" w:rsidP="00CD25DA">
      <w:pPr>
        <w:autoSpaceDE w:val="0"/>
        <w:autoSpaceDN w:val="0"/>
        <w:adjustRightInd w:val="0"/>
        <w:spacing w:before="29"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5</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报告期末按债券信用等级分类的债券投资组合</w:t>
      </w:r>
    </w:p>
    <w:tbl>
      <w:tblPr>
        <w:tblStyle w:val="afa"/>
        <w:tblW w:w="0" w:type="auto"/>
        <w:tblInd w:w="15" w:type="dxa"/>
        <w:tblLook w:val="04A0" w:firstRow="1" w:lastRow="0" w:firstColumn="1" w:lastColumn="0" w:noHBand="0" w:noVBand="1"/>
      </w:tblPr>
      <w:tblGrid>
        <w:gridCol w:w="3281"/>
        <w:gridCol w:w="2653"/>
        <w:gridCol w:w="2579"/>
      </w:tblGrid>
      <w:tr w:rsidR="00F27040" w:rsidRPr="00A3398F" w:rsidTr="00F27040">
        <w:tc>
          <w:tcPr>
            <w:tcW w:w="3281" w:type="dxa"/>
          </w:tcPr>
          <w:p w:rsidR="00F27040" w:rsidRPr="00A3398F" w:rsidRDefault="00F27040" w:rsidP="005959D1">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债券信用等级</w:t>
            </w:r>
          </w:p>
        </w:tc>
        <w:tc>
          <w:tcPr>
            <w:tcW w:w="2653" w:type="dxa"/>
          </w:tcPr>
          <w:p w:rsidR="00F27040" w:rsidRPr="00A3398F" w:rsidRDefault="00F27040" w:rsidP="005959D1">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公允价值</w:t>
            </w:r>
            <w:r w:rsidRPr="00A3398F">
              <w:rPr>
                <w:rFonts w:eastAsiaTheme="minorEastAsia"/>
                <w:color w:val="000000" w:themeColor="text1"/>
                <w:kern w:val="0"/>
                <w:szCs w:val="21"/>
              </w:rPr>
              <w:t>(</w:t>
            </w:r>
            <w:r w:rsidRPr="00A3398F">
              <w:rPr>
                <w:rFonts w:eastAsiaTheme="minorEastAsia"/>
                <w:color w:val="000000" w:themeColor="text1"/>
                <w:kern w:val="0"/>
                <w:szCs w:val="21"/>
              </w:rPr>
              <w:t>人民币元</w:t>
            </w:r>
            <w:r w:rsidRPr="00A3398F">
              <w:rPr>
                <w:rFonts w:eastAsiaTheme="minorEastAsia"/>
                <w:color w:val="000000" w:themeColor="text1"/>
                <w:kern w:val="0"/>
                <w:szCs w:val="21"/>
              </w:rPr>
              <w:t>)</w:t>
            </w:r>
          </w:p>
        </w:tc>
        <w:tc>
          <w:tcPr>
            <w:tcW w:w="2579" w:type="dxa"/>
          </w:tcPr>
          <w:p w:rsidR="00F27040" w:rsidRPr="00A3398F" w:rsidRDefault="00F27040" w:rsidP="005959D1">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kern w:val="0"/>
                <w:szCs w:val="21"/>
              </w:rPr>
              <w:t>占基金资产净值比例（％）</w:t>
            </w:r>
          </w:p>
        </w:tc>
      </w:tr>
      <w:tr w:rsidR="00F27040" w:rsidTr="00F27040">
        <w:tc>
          <w:tcPr>
            <w:tcW w:w="0" w:type="auto"/>
          </w:tcPr>
          <w:p w:rsidR="00F27040" w:rsidRDefault="00F27040" w:rsidP="005959D1">
            <w:pPr>
              <w:jc w:val="left"/>
            </w:pPr>
            <w:r>
              <w:rPr>
                <w:rFonts w:eastAsiaTheme="minorEastAsia"/>
                <w:color w:val="000000" w:themeColor="text1"/>
                <w:szCs w:val="21"/>
              </w:rPr>
              <w:t>AAA</w:t>
            </w:r>
          </w:p>
        </w:tc>
        <w:tc>
          <w:tcPr>
            <w:tcW w:w="0" w:type="auto"/>
          </w:tcPr>
          <w:p w:rsidR="00F27040" w:rsidRDefault="00F27040" w:rsidP="005959D1">
            <w:pPr>
              <w:jc w:val="right"/>
            </w:pPr>
            <w:r>
              <w:rPr>
                <w:rFonts w:eastAsiaTheme="minorEastAsia"/>
                <w:color w:val="000000" w:themeColor="text1"/>
                <w:szCs w:val="21"/>
              </w:rPr>
              <w:t>28,798,954.07</w:t>
            </w:r>
          </w:p>
        </w:tc>
        <w:tc>
          <w:tcPr>
            <w:tcW w:w="0" w:type="auto"/>
          </w:tcPr>
          <w:p w:rsidR="00F27040" w:rsidRDefault="00F27040" w:rsidP="005959D1">
            <w:pPr>
              <w:jc w:val="right"/>
            </w:pPr>
            <w:r>
              <w:rPr>
                <w:rFonts w:eastAsiaTheme="minorEastAsia"/>
                <w:color w:val="000000" w:themeColor="text1"/>
                <w:szCs w:val="21"/>
              </w:rPr>
              <w:t>5.06</w:t>
            </w:r>
          </w:p>
        </w:tc>
      </w:tr>
      <w:tr w:rsidR="00F27040" w:rsidTr="00F27040">
        <w:tc>
          <w:tcPr>
            <w:tcW w:w="0" w:type="auto"/>
          </w:tcPr>
          <w:p w:rsidR="00F27040" w:rsidRDefault="00F27040" w:rsidP="005959D1">
            <w:pPr>
              <w:jc w:val="left"/>
            </w:pPr>
            <w:r>
              <w:rPr>
                <w:rFonts w:eastAsiaTheme="minorEastAsia"/>
                <w:color w:val="000000" w:themeColor="text1"/>
                <w:szCs w:val="21"/>
              </w:rPr>
              <w:t>AA-</w:t>
            </w:r>
            <w:r>
              <w:rPr>
                <w:rFonts w:eastAsiaTheme="minorEastAsia"/>
                <w:color w:val="000000" w:themeColor="text1"/>
                <w:szCs w:val="21"/>
              </w:rPr>
              <w:t>至</w:t>
            </w:r>
            <w:r>
              <w:rPr>
                <w:rFonts w:eastAsiaTheme="minorEastAsia"/>
                <w:color w:val="000000" w:themeColor="text1"/>
                <w:szCs w:val="21"/>
              </w:rPr>
              <w:t>AA+</w:t>
            </w:r>
          </w:p>
        </w:tc>
        <w:tc>
          <w:tcPr>
            <w:tcW w:w="0" w:type="auto"/>
          </w:tcPr>
          <w:p w:rsidR="00F27040" w:rsidRDefault="00F27040" w:rsidP="005959D1">
            <w:pPr>
              <w:jc w:val="right"/>
            </w:pPr>
            <w:r>
              <w:rPr>
                <w:rFonts w:eastAsiaTheme="minorEastAsia"/>
                <w:color w:val="000000" w:themeColor="text1"/>
                <w:szCs w:val="21"/>
              </w:rPr>
              <w:t>-</w:t>
            </w:r>
          </w:p>
        </w:tc>
        <w:tc>
          <w:tcPr>
            <w:tcW w:w="0" w:type="auto"/>
          </w:tcPr>
          <w:p w:rsidR="00F27040" w:rsidRDefault="00F27040" w:rsidP="005959D1">
            <w:pPr>
              <w:jc w:val="right"/>
            </w:pPr>
            <w:r>
              <w:rPr>
                <w:rFonts w:eastAsiaTheme="minorEastAsia"/>
                <w:color w:val="000000" w:themeColor="text1"/>
                <w:szCs w:val="21"/>
              </w:rPr>
              <w:t>-</w:t>
            </w:r>
          </w:p>
        </w:tc>
      </w:tr>
      <w:tr w:rsidR="00F27040" w:rsidTr="00F27040">
        <w:tc>
          <w:tcPr>
            <w:tcW w:w="0" w:type="auto"/>
          </w:tcPr>
          <w:p w:rsidR="00F27040" w:rsidRDefault="00F27040" w:rsidP="005959D1">
            <w:pPr>
              <w:jc w:val="left"/>
            </w:pPr>
            <w:r>
              <w:rPr>
                <w:rFonts w:eastAsiaTheme="minorEastAsia"/>
                <w:color w:val="000000" w:themeColor="text1"/>
                <w:szCs w:val="21"/>
              </w:rPr>
              <w:t>A-</w:t>
            </w:r>
            <w:r>
              <w:rPr>
                <w:rFonts w:eastAsiaTheme="minorEastAsia"/>
                <w:color w:val="000000" w:themeColor="text1"/>
                <w:szCs w:val="21"/>
              </w:rPr>
              <w:t>至</w:t>
            </w:r>
            <w:r>
              <w:rPr>
                <w:rFonts w:eastAsiaTheme="minorEastAsia"/>
                <w:color w:val="000000" w:themeColor="text1"/>
                <w:szCs w:val="21"/>
              </w:rPr>
              <w:t>A+</w:t>
            </w:r>
          </w:p>
        </w:tc>
        <w:tc>
          <w:tcPr>
            <w:tcW w:w="0" w:type="auto"/>
          </w:tcPr>
          <w:p w:rsidR="00F27040" w:rsidRDefault="00F27040" w:rsidP="005959D1">
            <w:pPr>
              <w:jc w:val="right"/>
            </w:pPr>
            <w:r>
              <w:rPr>
                <w:rFonts w:eastAsiaTheme="minorEastAsia"/>
                <w:color w:val="000000" w:themeColor="text1"/>
                <w:szCs w:val="21"/>
              </w:rPr>
              <w:t>-</w:t>
            </w:r>
          </w:p>
        </w:tc>
        <w:tc>
          <w:tcPr>
            <w:tcW w:w="0" w:type="auto"/>
          </w:tcPr>
          <w:p w:rsidR="00F27040" w:rsidRDefault="00F27040" w:rsidP="005959D1">
            <w:pPr>
              <w:jc w:val="right"/>
            </w:pPr>
            <w:r>
              <w:rPr>
                <w:rFonts w:eastAsiaTheme="minorEastAsia"/>
                <w:color w:val="000000" w:themeColor="text1"/>
                <w:szCs w:val="21"/>
              </w:rPr>
              <w:t>-</w:t>
            </w:r>
          </w:p>
        </w:tc>
      </w:tr>
      <w:tr w:rsidR="00F27040" w:rsidTr="00F27040">
        <w:tc>
          <w:tcPr>
            <w:tcW w:w="0" w:type="auto"/>
          </w:tcPr>
          <w:p w:rsidR="00F27040" w:rsidRDefault="00F27040" w:rsidP="005959D1">
            <w:pPr>
              <w:jc w:val="left"/>
            </w:pPr>
            <w:r>
              <w:rPr>
                <w:rFonts w:eastAsiaTheme="minorEastAsia"/>
                <w:color w:val="000000" w:themeColor="text1"/>
                <w:szCs w:val="21"/>
              </w:rPr>
              <w:t>BBB-</w:t>
            </w:r>
            <w:r>
              <w:rPr>
                <w:rFonts w:eastAsiaTheme="minorEastAsia"/>
                <w:color w:val="000000" w:themeColor="text1"/>
                <w:szCs w:val="21"/>
              </w:rPr>
              <w:t>至</w:t>
            </w:r>
            <w:r>
              <w:rPr>
                <w:rFonts w:eastAsiaTheme="minorEastAsia"/>
                <w:color w:val="000000" w:themeColor="text1"/>
                <w:szCs w:val="21"/>
              </w:rPr>
              <w:t>BBB+</w:t>
            </w:r>
          </w:p>
        </w:tc>
        <w:tc>
          <w:tcPr>
            <w:tcW w:w="0" w:type="auto"/>
          </w:tcPr>
          <w:p w:rsidR="00F27040" w:rsidRDefault="00F27040" w:rsidP="005959D1">
            <w:pPr>
              <w:jc w:val="right"/>
            </w:pPr>
            <w:r>
              <w:rPr>
                <w:rFonts w:eastAsiaTheme="minorEastAsia"/>
                <w:color w:val="000000" w:themeColor="text1"/>
                <w:szCs w:val="21"/>
              </w:rPr>
              <w:t>-</w:t>
            </w:r>
          </w:p>
        </w:tc>
        <w:tc>
          <w:tcPr>
            <w:tcW w:w="0" w:type="auto"/>
          </w:tcPr>
          <w:p w:rsidR="00F27040" w:rsidRDefault="00F27040" w:rsidP="005959D1">
            <w:pPr>
              <w:jc w:val="right"/>
            </w:pPr>
            <w:r>
              <w:rPr>
                <w:rFonts w:eastAsiaTheme="minorEastAsia"/>
                <w:color w:val="000000" w:themeColor="text1"/>
                <w:szCs w:val="21"/>
              </w:rPr>
              <w:t>-</w:t>
            </w:r>
          </w:p>
        </w:tc>
      </w:tr>
      <w:tr w:rsidR="00F27040" w:rsidTr="00F27040">
        <w:tc>
          <w:tcPr>
            <w:tcW w:w="0" w:type="auto"/>
          </w:tcPr>
          <w:p w:rsidR="00F27040" w:rsidRDefault="00F27040" w:rsidP="005959D1">
            <w:pPr>
              <w:jc w:val="left"/>
            </w:pPr>
            <w:r>
              <w:rPr>
                <w:rFonts w:eastAsiaTheme="minorEastAsia"/>
                <w:color w:val="000000" w:themeColor="text1"/>
                <w:szCs w:val="21"/>
              </w:rPr>
              <w:t>BB-</w:t>
            </w:r>
            <w:r>
              <w:rPr>
                <w:rFonts w:eastAsiaTheme="minorEastAsia"/>
                <w:color w:val="000000" w:themeColor="text1"/>
                <w:szCs w:val="21"/>
              </w:rPr>
              <w:t>至</w:t>
            </w:r>
            <w:r>
              <w:rPr>
                <w:rFonts w:eastAsiaTheme="minorEastAsia"/>
                <w:color w:val="000000" w:themeColor="text1"/>
                <w:szCs w:val="21"/>
              </w:rPr>
              <w:t>BB+</w:t>
            </w:r>
          </w:p>
        </w:tc>
        <w:tc>
          <w:tcPr>
            <w:tcW w:w="0" w:type="auto"/>
          </w:tcPr>
          <w:p w:rsidR="00F27040" w:rsidRDefault="00F27040" w:rsidP="005959D1">
            <w:pPr>
              <w:jc w:val="right"/>
            </w:pPr>
            <w:r>
              <w:rPr>
                <w:rFonts w:eastAsiaTheme="minorEastAsia"/>
                <w:color w:val="000000" w:themeColor="text1"/>
                <w:szCs w:val="21"/>
              </w:rPr>
              <w:t>-</w:t>
            </w:r>
          </w:p>
        </w:tc>
        <w:tc>
          <w:tcPr>
            <w:tcW w:w="0" w:type="auto"/>
          </w:tcPr>
          <w:p w:rsidR="00F27040" w:rsidRDefault="00F27040" w:rsidP="005959D1">
            <w:pPr>
              <w:jc w:val="right"/>
            </w:pPr>
            <w:r>
              <w:rPr>
                <w:rFonts w:eastAsiaTheme="minorEastAsia"/>
                <w:color w:val="000000" w:themeColor="text1"/>
                <w:szCs w:val="21"/>
              </w:rPr>
              <w:t>-</w:t>
            </w:r>
          </w:p>
        </w:tc>
      </w:tr>
    </w:tbl>
    <w:p w:rsidR="0076518F" w:rsidRPr="00590D6A" w:rsidRDefault="00F27040" w:rsidP="008B6A4A">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注：本基金债券投资组合主要采用标准普尔、惠誉等国际权威评级机构提供的债券信用评级信息。</w:t>
      </w: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6</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8277FF" w:rsidRPr="00A3398F" w:rsidTr="00B918B8">
        <w:tc>
          <w:tcPr>
            <w:tcW w:w="1252" w:type="dxa"/>
            <w:shd w:val="clear" w:color="auto" w:fill="auto"/>
            <w:vAlign w:val="center"/>
          </w:tcPr>
          <w:p w:rsidR="00521EDE" w:rsidRPr="00A3398F" w:rsidRDefault="00521EDE"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序号</w:t>
            </w:r>
          </w:p>
        </w:tc>
        <w:tc>
          <w:tcPr>
            <w:tcW w:w="1310" w:type="dxa"/>
            <w:shd w:val="clear" w:color="auto" w:fill="auto"/>
            <w:vAlign w:val="center"/>
          </w:tcPr>
          <w:p w:rsidR="00521EDE" w:rsidRPr="00A3398F" w:rsidRDefault="00521EDE"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债券代码</w:t>
            </w:r>
          </w:p>
        </w:tc>
        <w:tc>
          <w:tcPr>
            <w:tcW w:w="1282" w:type="dxa"/>
            <w:shd w:val="clear" w:color="auto" w:fill="auto"/>
            <w:vAlign w:val="center"/>
          </w:tcPr>
          <w:p w:rsidR="00521EDE" w:rsidRPr="00A3398F" w:rsidRDefault="00521EDE"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债券名称</w:t>
            </w:r>
          </w:p>
        </w:tc>
        <w:tc>
          <w:tcPr>
            <w:tcW w:w="1426" w:type="dxa"/>
            <w:shd w:val="clear" w:color="auto" w:fill="auto"/>
            <w:vAlign w:val="center"/>
          </w:tcPr>
          <w:p w:rsidR="00521EDE" w:rsidRPr="00A3398F" w:rsidRDefault="00521EDE"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数量</w:t>
            </w:r>
            <w:r w:rsidRPr="00A3398F">
              <w:rPr>
                <w:rFonts w:eastAsiaTheme="minorEastAsia"/>
                <w:color w:val="000000" w:themeColor="text1"/>
                <w:szCs w:val="21"/>
              </w:rPr>
              <w:t>(</w:t>
            </w:r>
            <w:r w:rsidRPr="00A3398F">
              <w:rPr>
                <w:rFonts w:eastAsiaTheme="minorEastAsia"/>
                <w:color w:val="000000" w:themeColor="text1"/>
                <w:szCs w:val="21"/>
              </w:rPr>
              <w:t>张</w:t>
            </w:r>
            <w:r w:rsidRPr="00A3398F">
              <w:rPr>
                <w:rFonts w:eastAsiaTheme="minorEastAsia"/>
                <w:color w:val="000000" w:themeColor="text1"/>
                <w:szCs w:val="21"/>
              </w:rPr>
              <w:t>)</w:t>
            </w:r>
          </w:p>
        </w:tc>
        <w:tc>
          <w:tcPr>
            <w:tcW w:w="1646" w:type="dxa"/>
            <w:shd w:val="clear" w:color="auto" w:fill="auto"/>
            <w:vAlign w:val="center"/>
          </w:tcPr>
          <w:p w:rsidR="00521EDE" w:rsidRPr="00A3398F" w:rsidRDefault="00521EDE"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公允价值</w:t>
            </w:r>
            <w:r w:rsidRPr="00A3398F">
              <w:rPr>
                <w:rFonts w:eastAsiaTheme="minorEastAsia"/>
                <w:color w:val="000000" w:themeColor="text1"/>
                <w:szCs w:val="21"/>
              </w:rPr>
              <w:t>(</w:t>
            </w:r>
            <w:r w:rsidRPr="00A3398F">
              <w:rPr>
                <w:rFonts w:eastAsiaTheme="minorEastAsia"/>
                <w:color w:val="000000" w:themeColor="text1"/>
                <w:szCs w:val="21"/>
              </w:rPr>
              <w:t>元</w:t>
            </w:r>
            <w:r w:rsidRPr="00A3398F">
              <w:rPr>
                <w:rFonts w:eastAsiaTheme="minorEastAsia"/>
                <w:color w:val="000000" w:themeColor="text1"/>
                <w:szCs w:val="21"/>
              </w:rPr>
              <w:t>)</w:t>
            </w:r>
          </w:p>
        </w:tc>
        <w:tc>
          <w:tcPr>
            <w:tcW w:w="1612" w:type="dxa"/>
            <w:shd w:val="clear" w:color="auto" w:fill="auto"/>
            <w:vAlign w:val="center"/>
          </w:tcPr>
          <w:p w:rsidR="00521EDE" w:rsidRPr="00A3398F" w:rsidRDefault="00521EDE" w:rsidP="00B918B8">
            <w:pPr>
              <w:spacing w:before="29" w:line="360" w:lineRule="auto"/>
              <w:ind w:left="17"/>
              <w:jc w:val="center"/>
              <w:rPr>
                <w:rFonts w:eastAsiaTheme="minorEastAsia"/>
                <w:color w:val="000000" w:themeColor="text1"/>
                <w:szCs w:val="21"/>
              </w:rPr>
            </w:pPr>
            <w:r w:rsidRPr="00A3398F">
              <w:rPr>
                <w:rFonts w:eastAsiaTheme="minorEastAsia"/>
                <w:color w:val="000000" w:themeColor="text1"/>
                <w:szCs w:val="21"/>
              </w:rPr>
              <w:t>占基金资产净值比例</w:t>
            </w:r>
            <w:r w:rsidRPr="00A3398F">
              <w:rPr>
                <w:rFonts w:eastAsiaTheme="minorEastAsia"/>
                <w:color w:val="000000" w:themeColor="text1"/>
                <w:szCs w:val="21"/>
              </w:rPr>
              <w:t>(</w:t>
            </w:r>
            <w:r w:rsidRPr="00A3398F">
              <w:rPr>
                <w:rFonts w:eastAsiaTheme="minorEastAsia"/>
                <w:color w:val="000000" w:themeColor="text1"/>
                <w:szCs w:val="21"/>
              </w:rPr>
              <w:t>％</w:t>
            </w:r>
            <w:r w:rsidRPr="00A3398F">
              <w:rPr>
                <w:rFonts w:eastAsiaTheme="minorEastAsia"/>
                <w:color w:val="000000" w:themeColor="text1"/>
                <w:szCs w:val="21"/>
              </w:rPr>
              <w:t>)</w:t>
            </w:r>
          </w:p>
        </w:tc>
      </w:tr>
      <w:tr w:rsidR="00233BAF">
        <w:tc>
          <w:tcPr>
            <w:tcW w:w="1252" w:type="dxa"/>
            <w:vAlign w:val="center"/>
          </w:tcPr>
          <w:p w:rsidR="00233BAF" w:rsidRDefault="00857069">
            <w:pPr>
              <w:jc w:val="center"/>
            </w:pPr>
            <w:r>
              <w:rPr>
                <w:rFonts w:eastAsiaTheme="minorEastAsia"/>
                <w:color w:val="000000" w:themeColor="text1"/>
                <w:szCs w:val="21"/>
              </w:rPr>
              <w:t>1</w:t>
            </w:r>
          </w:p>
        </w:tc>
        <w:tc>
          <w:tcPr>
            <w:tcW w:w="1310" w:type="dxa"/>
            <w:vAlign w:val="center"/>
          </w:tcPr>
          <w:p w:rsidR="00233BAF" w:rsidRDefault="00857069">
            <w:pPr>
              <w:jc w:val="center"/>
            </w:pPr>
            <w:r>
              <w:rPr>
                <w:rFonts w:eastAsiaTheme="minorEastAsia"/>
                <w:color w:val="000000" w:themeColor="text1"/>
                <w:szCs w:val="21"/>
              </w:rPr>
              <w:t>US912797HT78</w:t>
            </w:r>
          </w:p>
        </w:tc>
        <w:tc>
          <w:tcPr>
            <w:tcW w:w="1282" w:type="dxa"/>
            <w:vAlign w:val="center"/>
          </w:tcPr>
          <w:p w:rsidR="00233BAF" w:rsidRDefault="00857069">
            <w:pPr>
              <w:jc w:val="center"/>
            </w:pPr>
            <w:r>
              <w:rPr>
                <w:rFonts w:eastAsiaTheme="minorEastAsia"/>
                <w:color w:val="000000" w:themeColor="text1"/>
                <w:szCs w:val="21"/>
              </w:rPr>
              <w:t>B 0.0 06JUN24</w:t>
            </w:r>
          </w:p>
        </w:tc>
        <w:tc>
          <w:tcPr>
            <w:tcW w:w="1426" w:type="dxa"/>
            <w:vAlign w:val="center"/>
          </w:tcPr>
          <w:p w:rsidR="00233BAF" w:rsidRDefault="00CF2347">
            <w:pPr>
              <w:jc w:val="right"/>
            </w:pPr>
            <w:r>
              <w:rPr>
                <w:rFonts w:eastAsiaTheme="minorEastAsia"/>
                <w:color w:val="000000" w:themeColor="text1"/>
                <w:szCs w:val="21"/>
              </w:rPr>
              <w:t>41,000.00</w:t>
            </w:r>
          </w:p>
        </w:tc>
        <w:tc>
          <w:tcPr>
            <w:tcW w:w="1646" w:type="dxa"/>
            <w:vAlign w:val="center"/>
          </w:tcPr>
          <w:p w:rsidR="00233BAF" w:rsidRDefault="00857069">
            <w:pPr>
              <w:jc w:val="right"/>
            </w:pPr>
            <w:r>
              <w:rPr>
                <w:rFonts w:eastAsiaTheme="minorEastAsia"/>
                <w:color w:val="000000" w:themeColor="text1"/>
                <w:szCs w:val="21"/>
              </w:rPr>
              <w:t>28,798,954.07</w:t>
            </w:r>
          </w:p>
        </w:tc>
        <w:tc>
          <w:tcPr>
            <w:tcW w:w="1612" w:type="dxa"/>
            <w:vAlign w:val="center"/>
          </w:tcPr>
          <w:p w:rsidR="00233BAF" w:rsidRDefault="00857069">
            <w:pPr>
              <w:jc w:val="right"/>
            </w:pPr>
            <w:r>
              <w:rPr>
                <w:rFonts w:eastAsiaTheme="minorEastAsia"/>
                <w:color w:val="000000" w:themeColor="text1"/>
                <w:szCs w:val="21"/>
              </w:rPr>
              <w:t>5.06</w:t>
            </w:r>
          </w:p>
        </w:tc>
      </w:tr>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2A0FA2" w:rsidRPr="00A3398F">
        <w:rPr>
          <w:rFonts w:eastAsiaTheme="minorEastAsia"/>
          <w:b/>
          <w:color w:val="000000" w:themeColor="text1"/>
          <w:kern w:val="0"/>
          <w:sz w:val="24"/>
        </w:rPr>
        <w:t>7</w:t>
      </w:r>
      <w:r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报告期末按公允价值占基金资产净值比例大小排名的前十名资产支持证券</w:t>
      </w:r>
      <w:r w:rsidR="0076518F" w:rsidRPr="00A3398F">
        <w:rPr>
          <w:rFonts w:eastAsiaTheme="minorEastAsia"/>
          <w:b/>
          <w:color w:val="000000" w:themeColor="text1"/>
          <w:kern w:val="0"/>
          <w:sz w:val="24"/>
        </w:rPr>
        <w:lastRenderedPageBreak/>
        <w:t>投资明细</w:t>
      </w:r>
    </w:p>
    <w:p w:rsidR="00521EDE" w:rsidRPr="00A3398F" w:rsidRDefault="00521EDE"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本基金本报告期末未持有资产支持证券。</w:t>
      </w:r>
    </w:p>
    <w:p w:rsidR="005B6AC7" w:rsidRPr="00A3398F"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5.8</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报告期末按公允价值占基金资产净值比例大小排名的前五名金融衍生品投资明细</w:t>
      </w:r>
    </w:p>
    <w:p w:rsidR="00521EDE" w:rsidRPr="00A3398F" w:rsidRDefault="00521EDE" w:rsidP="00521EDE">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本基金本报告期末未持有金融衍生品。</w:t>
      </w:r>
    </w:p>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B22A61"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5.9</w:t>
      </w:r>
      <w:r w:rsidR="0076518F" w:rsidRPr="00A3398F">
        <w:rPr>
          <w:rFonts w:eastAsiaTheme="minorEastAsia"/>
          <w:b/>
          <w:color w:val="000000" w:themeColor="text1"/>
          <w:kern w:val="0"/>
          <w:sz w:val="24"/>
        </w:rPr>
        <w:t>报告期末按公允价值占基金资产净值比例大小排序的前十名基金投资明细</w:t>
      </w:r>
    </w:p>
    <w:tbl>
      <w:tblPr>
        <w:tblStyle w:val="afa"/>
        <w:tblW w:w="0" w:type="auto"/>
        <w:tblInd w:w="15" w:type="dxa"/>
        <w:tblLook w:val="04A0" w:firstRow="1" w:lastRow="0" w:firstColumn="1" w:lastColumn="0" w:noHBand="0" w:noVBand="1"/>
      </w:tblPr>
      <w:tblGrid>
        <w:gridCol w:w="580"/>
        <w:gridCol w:w="2003"/>
        <w:gridCol w:w="581"/>
        <w:gridCol w:w="581"/>
        <w:gridCol w:w="2551"/>
        <w:gridCol w:w="1424"/>
        <w:gridCol w:w="793"/>
      </w:tblGrid>
      <w:tr w:rsidR="008277FF" w:rsidRPr="00A3398F" w:rsidTr="00797DD2">
        <w:tc>
          <w:tcPr>
            <w:tcW w:w="1215" w:type="dxa"/>
            <w:vAlign w:val="center"/>
          </w:tcPr>
          <w:p w:rsidR="00017739" w:rsidRPr="00A3398F" w:rsidRDefault="00017739" w:rsidP="00797DD2">
            <w:pPr>
              <w:spacing w:line="360" w:lineRule="auto"/>
              <w:jc w:val="center"/>
              <w:rPr>
                <w:rFonts w:eastAsiaTheme="minorEastAsia"/>
                <w:color w:val="000000" w:themeColor="text1"/>
                <w:szCs w:val="21"/>
              </w:rPr>
            </w:pPr>
            <w:r w:rsidRPr="00A3398F">
              <w:rPr>
                <w:rFonts w:eastAsiaTheme="minorEastAsia"/>
                <w:color w:val="000000" w:themeColor="text1"/>
                <w:szCs w:val="21"/>
              </w:rPr>
              <w:t>序号</w:t>
            </w:r>
          </w:p>
        </w:tc>
        <w:tc>
          <w:tcPr>
            <w:tcW w:w="1216" w:type="dxa"/>
            <w:vAlign w:val="center"/>
          </w:tcPr>
          <w:p w:rsidR="00017739" w:rsidRPr="00A3398F" w:rsidRDefault="00017739" w:rsidP="00797DD2">
            <w:pPr>
              <w:spacing w:line="360" w:lineRule="auto"/>
              <w:rPr>
                <w:rFonts w:eastAsiaTheme="minorEastAsia"/>
                <w:color w:val="000000" w:themeColor="text1"/>
                <w:szCs w:val="21"/>
              </w:rPr>
            </w:pPr>
            <w:r w:rsidRPr="00A3398F">
              <w:rPr>
                <w:rFonts w:eastAsiaTheme="minorEastAsia"/>
                <w:color w:val="000000" w:themeColor="text1"/>
                <w:szCs w:val="21"/>
              </w:rPr>
              <w:t>基金名称</w:t>
            </w:r>
          </w:p>
        </w:tc>
        <w:tc>
          <w:tcPr>
            <w:tcW w:w="1216" w:type="dxa"/>
            <w:vAlign w:val="center"/>
          </w:tcPr>
          <w:p w:rsidR="00017739" w:rsidRPr="00A3398F" w:rsidRDefault="00017739" w:rsidP="00797DD2">
            <w:pPr>
              <w:spacing w:line="360" w:lineRule="auto"/>
              <w:rPr>
                <w:rFonts w:eastAsiaTheme="minorEastAsia"/>
                <w:color w:val="000000" w:themeColor="text1"/>
                <w:szCs w:val="21"/>
              </w:rPr>
            </w:pPr>
            <w:r w:rsidRPr="00A3398F">
              <w:rPr>
                <w:rFonts w:eastAsiaTheme="minorEastAsia"/>
                <w:color w:val="000000" w:themeColor="text1"/>
                <w:szCs w:val="21"/>
              </w:rPr>
              <w:t>基金类型</w:t>
            </w:r>
          </w:p>
        </w:tc>
        <w:tc>
          <w:tcPr>
            <w:tcW w:w="1216" w:type="dxa"/>
            <w:vAlign w:val="center"/>
          </w:tcPr>
          <w:p w:rsidR="00017739" w:rsidRPr="00A3398F" w:rsidRDefault="00017739" w:rsidP="00797DD2">
            <w:pPr>
              <w:spacing w:line="360" w:lineRule="auto"/>
              <w:jc w:val="center"/>
              <w:rPr>
                <w:rFonts w:eastAsiaTheme="minorEastAsia"/>
                <w:color w:val="000000" w:themeColor="text1"/>
                <w:szCs w:val="21"/>
              </w:rPr>
            </w:pPr>
            <w:r w:rsidRPr="00A3398F">
              <w:rPr>
                <w:rFonts w:eastAsiaTheme="minorEastAsia"/>
                <w:color w:val="000000" w:themeColor="text1"/>
                <w:szCs w:val="21"/>
              </w:rPr>
              <w:t>运作方式</w:t>
            </w:r>
          </w:p>
        </w:tc>
        <w:tc>
          <w:tcPr>
            <w:tcW w:w="1216" w:type="dxa"/>
            <w:vAlign w:val="center"/>
          </w:tcPr>
          <w:p w:rsidR="00017739" w:rsidRPr="00A3398F" w:rsidRDefault="00017739" w:rsidP="00797DD2">
            <w:pPr>
              <w:spacing w:line="360" w:lineRule="auto"/>
              <w:jc w:val="center"/>
              <w:rPr>
                <w:rFonts w:eastAsiaTheme="minorEastAsia"/>
                <w:color w:val="000000" w:themeColor="text1"/>
                <w:szCs w:val="21"/>
              </w:rPr>
            </w:pPr>
            <w:r w:rsidRPr="00A3398F">
              <w:rPr>
                <w:rFonts w:eastAsiaTheme="minorEastAsia"/>
                <w:color w:val="000000" w:themeColor="text1"/>
                <w:szCs w:val="21"/>
              </w:rPr>
              <w:t>管理人</w:t>
            </w:r>
          </w:p>
        </w:tc>
        <w:tc>
          <w:tcPr>
            <w:tcW w:w="1217" w:type="dxa"/>
            <w:vAlign w:val="center"/>
          </w:tcPr>
          <w:p w:rsidR="00017739" w:rsidRPr="00A3398F" w:rsidRDefault="00017739" w:rsidP="00797DD2">
            <w:pPr>
              <w:spacing w:line="360" w:lineRule="auto"/>
              <w:jc w:val="center"/>
              <w:rPr>
                <w:rFonts w:eastAsiaTheme="minorEastAsia"/>
                <w:color w:val="000000" w:themeColor="text1"/>
                <w:szCs w:val="21"/>
              </w:rPr>
            </w:pPr>
            <w:r w:rsidRPr="00A3398F">
              <w:rPr>
                <w:rFonts w:eastAsiaTheme="minorEastAsia"/>
                <w:color w:val="000000" w:themeColor="text1"/>
                <w:szCs w:val="21"/>
              </w:rPr>
              <w:t>公允价值</w:t>
            </w:r>
          </w:p>
          <w:p w:rsidR="00017739" w:rsidRPr="00A3398F" w:rsidRDefault="00017739" w:rsidP="00797DD2">
            <w:pPr>
              <w:spacing w:line="360" w:lineRule="auto"/>
              <w:jc w:val="center"/>
              <w:rPr>
                <w:rFonts w:eastAsiaTheme="minorEastAsia"/>
                <w:color w:val="000000" w:themeColor="text1"/>
                <w:szCs w:val="21"/>
              </w:rPr>
            </w:pPr>
            <w:r w:rsidRPr="00A3398F">
              <w:rPr>
                <w:rFonts w:eastAsiaTheme="minorEastAsia"/>
                <w:color w:val="000000" w:themeColor="text1"/>
                <w:szCs w:val="21"/>
              </w:rPr>
              <w:t>（人民币元）</w:t>
            </w:r>
          </w:p>
        </w:tc>
        <w:tc>
          <w:tcPr>
            <w:tcW w:w="1217" w:type="dxa"/>
            <w:vAlign w:val="center"/>
          </w:tcPr>
          <w:p w:rsidR="00017739" w:rsidRPr="00A3398F" w:rsidRDefault="00017739" w:rsidP="00797DD2">
            <w:pPr>
              <w:spacing w:line="360" w:lineRule="auto"/>
              <w:jc w:val="center"/>
              <w:rPr>
                <w:rFonts w:eastAsiaTheme="minorEastAsia"/>
                <w:color w:val="000000" w:themeColor="text1"/>
                <w:szCs w:val="21"/>
              </w:rPr>
            </w:pPr>
            <w:r w:rsidRPr="00A3398F">
              <w:rPr>
                <w:rFonts w:eastAsiaTheme="minorEastAsia"/>
                <w:color w:val="000000" w:themeColor="text1"/>
                <w:szCs w:val="21"/>
              </w:rPr>
              <w:t>占基金资产净值比例</w:t>
            </w:r>
            <w:r w:rsidRPr="00A3398F">
              <w:rPr>
                <w:rFonts w:eastAsiaTheme="minorEastAsia"/>
                <w:color w:val="000000" w:themeColor="text1"/>
                <w:szCs w:val="21"/>
              </w:rPr>
              <w:t>(%)</w:t>
            </w:r>
          </w:p>
        </w:tc>
      </w:tr>
      <w:tr w:rsidR="00233BAF">
        <w:tc>
          <w:tcPr>
            <w:tcW w:w="0" w:type="auto"/>
            <w:vAlign w:val="center"/>
          </w:tcPr>
          <w:p w:rsidR="00233BAF" w:rsidRDefault="00857069">
            <w:pPr>
              <w:jc w:val="center"/>
            </w:pPr>
            <w:r>
              <w:rPr>
                <w:rFonts w:eastAsiaTheme="minorEastAsia"/>
                <w:color w:val="000000" w:themeColor="text1"/>
                <w:szCs w:val="21"/>
              </w:rPr>
              <w:t>1</w:t>
            </w:r>
          </w:p>
        </w:tc>
        <w:tc>
          <w:tcPr>
            <w:tcW w:w="0" w:type="auto"/>
            <w:vAlign w:val="center"/>
          </w:tcPr>
          <w:p w:rsidR="00233BAF" w:rsidRDefault="00857069">
            <w:pPr>
              <w:jc w:val="center"/>
            </w:pPr>
            <w:r>
              <w:rPr>
                <w:rFonts w:eastAsiaTheme="minorEastAsia"/>
                <w:color w:val="000000" w:themeColor="text1"/>
                <w:szCs w:val="21"/>
              </w:rPr>
              <w:t>JPM US EQ ALL CAP C(ACC)-USD</w:t>
            </w:r>
          </w:p>
        </w:tc>
        <w:tc>
          <w:tcPr>
            <w:tcW w:w="0" w:type="auto"/>
            <w:vAlign w:val="center"/>
          </w:tcPr>
          <w:p w:rsidR="00233BAF" w:rsidRDefault="00857069">
            <w:pPr>
              <w:jc w:val="center"/>
            </w:pPr>
            <w:r>
              <w:rPr>
                <w:rFonts w:eastAsiaTheme="minorEastAsia"/>
                <w:color w:val="000000" w:themeColor="text1"/>
                <w:szCs w:val="21"/>
              </w:rPr>
              <w:t>股票型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JPMorgan Asset Management (Europe) S.á r.l.</w:t>
            </w:r>
          </w:p>
        </w:tc>
        <w:tc>
          <w:tcPr>
            <w:tcW w:w="0" w:type="auto"/>
            <w:vAlign w:val="center"/>
          </w:tcPr>
          <w:p w:rsidR="00233BAF" w:rsidRDefault="00857069">
            <w:pPr>
              <w:jc w:val="right"/>
            </w:pPr>
            <w:r>
              <w:rPr>
                <w:rFonts w:eastAsiaTheme="minorEastAsia"/>
                <w:color w:val="000000" w:themeColor="text1"/>
                <w:szCs w:val="21"/>
              </w:rPr>
              <w:t>96,088,522.96</w:t>
            </w:r>
          </w:p>
        </w:tc>
        <w:tc>
          <w:tcPr>
            <w:tcW w:w="0" w:type="auto"/>
            <w:vAlign w:val="center"/>
          </w:tcPr>
          <w:p w:rsidR="00233BAF" w:rsidRDefault="00857069">
            <w:pPr>
              <w:jc w:val="right"/>
            </w:pPr>
            <w:r>
              <w:rPr>
                <w:rFonts w:eastAsiaTheme="minorEastAsia"/>
                <w:color w:val="000000" w:themeColor="text1"/>
                <w:szCs w:val="21"/>
              </w:rPr>
              <w:t>16.88</w:t>
            </w:r>
          </w:p>
        </w:tc>
      </w:tr>
      <w:tr w:rsidR="00233BAF">
        <w:tc>
          <w:tcPr>
            <w:tcW w:w="0" w:type="auto"/>
            <w:vAlign w:val="center"/>
          </w:tcPr>
          <w:p w:rsidR="00233BAF" w:rsidRDefault="00857069">
            <w:pPr>
              <w:jc w:val="center"/>
            </w:pPr>
            <w:r>
              <w:rPr>
                <w:rFonts w:eastAsiaTheme="minorEastAsia"/>
                <w:color w:val="000000" w:themeColor="text1"/>
                <w:szCs w:val="21"/>
              </w:rPr>
              <w:t>2</w:t>
            </w:r>
          </w:p>
        </w:tc>
        <w:tc>
          <w:tcPr>
            <w:tcW w:w="0" w:type="auto"/>
            <w:vAlign w:val="center"/>
          </w:tcPr>
          <w:p w:rsidR="00233BAF" w:rsidRDefault="00857069">
            <w:pPr>
              <w:jc w:val="center"/>
            </w:pPr>
            <w:r>
              <w:rPr>
                <w:rFonts w:eastAsiaTheme="minorEastAsia"/>
                <w:color w:val="000000" w:themeColor="text1"/>
                <w:szCs w:val="21"/>
              </w:rPr>
              <w:t>JPMORGAN SAR-GLOBAL BD FD-C</w:t>
            </w:r>
          </w:p>
        </w:tc>
        <w:tc>
          <w:tcPr>
            <w:tcW w:w="0" w:type="auto"/>
            <w:vAlign w:val="center"/>
          </w:tcPr>
          <w:p w:rsidR="00233BAF" w:rsidRDefault="00857069">
            <w:pPr>
              <w:jc w:val="center"/>
            </w:pPr>
            <w:r>
              <w:rPr>
                <w:rFonts w:eastAsiaTheme="minorEastAsia"/>
                <w:color w:val="000000" w:themeColor="text1"/>
                <w:szCs w:val="21"/>
              </w:rPr>
              <w:t>债券型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JF Asset Management Limited (Part of the JPMorgan Chase &amp; Co, group of companies)</w:t>
            </w:r>
          </w:p>
        </w:tc>
        <w:tc>
          <w:tcPr>
            <w:tcW w:w="0" w:type="auto"/>
            <w:vAlign w:val="center"/>
          </w:tcPr>
          <w:p w:rsidR="00233BAF" w:rsidRDefault="00857069">
            <w:pPr>
              <w:jc w:val="right"/>
            </w:pPr>
            <w:r>
              <w:rPr>
                <w:rFonts w:eastAsiaTheme="minorEastAsia"/>
                <w:color w:val="000000" w:themeColor="text1"/>
                <w:szCs w:val="21"/>
              </w:rPr>
              <w:t>78,000,576.59</w:t>
            </w:r>
          </w:p>
        </w:tc>
        <w:tc>
          <w:tcPr>
            <w:tcW w:w="0" w:type="auto"/>
            <w:vAlign w:val="center"/>
          </w:tcPr>
          <w:p w:rsidR="00233BAF" w:rsidRDefault="00857069">
            <w:pPr>
              <w:jc w:val="right"/>
            </w:pPr>
            <w:r>
              <w:rPr>
                <w:rFonts w:eastAsiaTheme="minorEastAsia"/>
                <w:color w:val="000000" w:themeColor="text1"/>
                <w:szCs w:val="21"/>
              </w:rPr>
              <w:t>13.70</w:t>
            </w:r>
          </w:p>
        </w:tc>
      </w:tr>
      <w:tr w:rsidR="00233BAF">
        <w:tc>
          <w:tcPr>
            <w:tcW w:w="0" w:type="auto"/>
            <w:vAlign w:val="center"/>
          </w:tcPr>
          <w:p w:rsidR="00233BAF" w:rsidRDefault="00857069">
            <w:pPr>
              <w:jc w:val="center"/>
            </w:pPr>
            <w:r>
              <w:rPr>
                <w:rFonts w:eastAsiaTheme="minorEastAsia"/>
                <w:color w:val="000000" w:themeColor="text1"/>
                <w:szCs w:val="21"/>
              </w:rPr>
              <w:t>3</w:t>
            </w:r>
          </w:p>
        </w:tc>
        <w:tc>
          <w:tcPr>
            <w:tcW w:w="0" w:type="auto"/>
            <w:vAlign w:val="center"/>
          </w:tcPr>
          <w:p w:rsidR="00233BAF" w:rsidRDefault="00857069">
            <w:pPr>
              <w:jc w:val="center"/>
            </w:pPr>
            <w:r>
              <w:rPr>
                <w:rFonts w:eastAsiaTheme="minorEastAsia"/>
                <w:color w:val="000000" w:themeColor="text1"/>
                <w:szCs w:val="21"/>
              </w:rPr>
              <w:t>JPM US GROWTH I (ACC) - USD</w:t>
            </w:r>
          </w:p>
        </w:tc>
        <w:tc>
          <w:tcPr>
            <w:tcW w:w="0" w:type="auto"/>
            <w:vAlign w:val="center"/>
          </w:tcPr>
          <w:p w:rsidR="00233BAF" w:rsidRDefault="00857069">
            <w:pPr>
              <w:jc w:val="center"/>
            </w:pPr>
            <w:r>
              <w:rPr>
                <w:rFonts w:eastAsiaTheme="minorEastAsia"/>
                <w:color w:val="000000" w:themeColor="text1"/>
                <w:szCs w:val="21"/>
              </w:rPr>
              <w:t>股票型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JPMorgan Asset Management (Europe) S.á r.l.</w:t>
            </w:r>
          </w:p>
        </w:tc>
        <w:tc>
          <w:tcPr>
            <w:tcW w:w="0" w:type="auto"/>
            <w:vAlign w:val="center"/>
          </w:tcPr>
          <w:p w:rsidR="00233BAF" w:rsidRDefault="00857069">
            <w:pPr>
              <w:jc w:val="right"/>
            </w:pPr>
            <w:r>
              <w:rPr>
                <w:rFonts w:eastAsiaTheme="minorEastAsia"/>
                <w:color w:val="000000" w:themeColor="text1"/>
                <w:szCs w:val="21"/>
              </w:rPr>
              <w:t>68,559,559.13</w:t>
            </w:r>
          </w:p>
        </w:tc>
        <w:tc>
          <w:tcPr>
            <w:tcW w:w="0" w:type="auto"/>
            <w:vAlign w:val="center"/>
          </w:tcPr>
          <w:p w:rsidR="00233BAF" w:rsidRDefault="00857069">
            <w:pPr>
              <w:jc w:val="right"/>
            </w:pPr>
            <w:r>
              <w:rPr>
                <w:rFonts w:eastAsiaTheme="minorEastAsia"/>
                <w:color w:val="000000" w:themeColor="text1"/>
                <w:szCs w:val="21"/>
              </w:rPr>
              <w:t>12.04</w:t>
            </w:r>
          </w:p>
        </w:tc>
      </w:tr>
      <w:tr w:rsidR="00233BAF">
        <w:tc>
          <w:tcPr>
            <w:tcW w:w="0" w:type="auto"/>
            <w:vAlign w:val="center"/>
          </w:tcPr>
          <w:p w:rsidR="00233BAF" w:rsidRDefault="00857069">
            <w:pPr>
              <w:jc w:val="center"/>
            </w:pPr>
            <w:r>
              <w:rPr>
                <w:rFonts w:eastAsiaTheme="minorEastAsia"/>
                <w:color w:val="000000" w:themeColor="text1"/>
                <w:szCs w:val="21"/>
              </w:rPr>
              <w:t>4</w:t>
            </w:r>
          </w:p>
        </w:tc>
        <w:tc>
          <w:tcPr>
            <w:tcW w:w="0" w:type="auto"/>
            <w:vAlign w:val="center"/>
          </w:tcPr>
          <w:p w:rsidR="00233BAF" w:rsidRDefault="00857069">
            <w:pPr>
              <w:jc w:val="center"/>
            </w:pPr>
            <w:r>
              <w:rPr>
                <w:rFonts w:eastAsiaTheme="minorEastAsia"/>
                <w:color w:val="000000" w:themeColor="text1"/>
                <w:szCs w:val="21"/>
              </w:rPr>
              <w:t>JPM US VALUE I (ACC) - USD</w:t>
            </w:r>
          </w:p>
        </w:tc>
        <w:tc>
          <w:tcPr>
            <w:tcW w:w="0" w:type="auto"/>
            <w:vAlign w:val="center"/>
          </w:tcPr>
          <w:p w:rsidR="00233BAF" w:rsidRDefault="00857069">
            <w:pPr>
              <w:jc w:val="center"/>
            </w:pPr>
            <w:r>
              <w:rPr>
                <w:rFonts w:eastAsiaTheme="minorEastAsia"/>
                <w:color w:val="000000" w:themeColor="text1"/>
                <w:szCs w:val="21"/>
              </w:rPr>
              <w:t>股票型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JPMorgan Asset Management (Europe) S.á r.l.</w:t>
            </w:r>
          </w:p>
        </w:tc>
        <w:tc>
          <w:tcPr>
            <w:tcW w:w="0" w:type="auto"/>
            <w:vAlign w:val="center"/>
          </w:tcPr>
          <w:p w:rsidR="00233BAF" w:rsidRDefault="00857069">
            <w:pPr>
              <w:jc w:val="right"/>
            </w:pPr>
            <w:r>
              <w:rPr>
                <w:rFonts w:eastAsiaTheme="minorEastAsia"/>
                <w:color w:val="000000" w:themeColor="text1"/>
                <w:szCs w:val="21"/>
              </w:rPr>
              <w:t>55,675,418.28</w:t>
            </w:r>
          </w:p>
        </w:tc>
        <w:tc>
          <w:tcPr>
            <w:tcW w:w="0" w:type="auto"/>
            <w:vAlign w:val="center"/>
          </w:tcPr>
          <w:p w:rsidR="00233BAF" w:rsidRDefault="00857069">
            <w:pPr>
              <w:jc w:val="right"/>
            </w:pPr>
            <w:r>
              <w:rPr>
                <w:rFonts w:eastAsiaTheme="minorEastAsia"/>
                <w:color w:val="000000" w:themeColor="text1"/>
                <w:szCs w:val="21"/>
              </w:rPr>
              <w:t>9.78</w:t>
            </w:r>
          </w:p>
        </w:tc>
      </w:tr>
      <w:tr w:rsidR="00233BAF">
        <w:tc>
          <w:tcPr>
            <w:tcW w:w="0" w:type="auto"/>
            <w:vAlign w:val="center"/>
          </w:tcPr>
          <w:p w:rsidR="00233BAF" w:rsidRDefault="00857069">
            <w:pPr>
              <w:jc w:val="center"/>
            </w:pPr>
            <w:r>
              <w:rPr>
                <w:rFonts w:eastAsiaTheme="minorEastAsia"/>
                <w:color w:val="000000" w:themeColor="text1"/>
                <w:szCs w:val="21"/>
              </w:rPr>
              <w:t>5</w:t>
            </w:r>
          </w:p>
        </w:tc>
        <w:tc>
          <w:tcPr>
            <w:tcW w:w="0" w:type="auto"/>
            <w:vAlign w:val="center"/>
          </w:tcPr>
          <w:p w:rsidR="00233BAF" w:rsidRDefault="00857069">
            <w:pPr>
              <w:jc w:val="center"/>
            </w:pPr>
            <w:r>
              <w:rPr>
                <w:rFonts w:eastAsiaTheme="minorEastAsia"/>
                <w:color w:val="000000" w:themeColor="text1"/>
                <w:szCs w:val="21"/>
              </w:rPr>
              <w:t>JPM GLOB CORP BD I (ACC) USD</w:t>
            </w:r>
          </w:p>
        </w:tc>
        <w:tc>
          <w:tcPr>
            <w:tcW w:w="0" w:type="auto"/>
            <w:vAlign w:val="center"/>
          </w:tcPr>
          <w:p w:rsidR="00233BAF" w:rsidRDefault="00857069">
            <w:pPr>
              <w:jc w:val="center"/>
            </w:pPr>
            <w:r>
              <w:rPr>
                <w:rFonts w:eastAsiaTheme="minorEastAsia"/>
                <w:color w:val="000000" w:themeColor="text1"/>
                <w:szCs w:val="21"/>
              </w:rPr>
              <w:t>债券型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JPMorgan Asset Management (Europe) S.á r.l.</w:t>
            </w:r>
          </w:p>
        </w:tc>
        <w:tc>
          <w:tcPr>
            <w:tcW w:w="0" w:type="auto"/>
            <w:vAlign w:val="center"/>
          </w:tcPr>
          <w:p w:rsidR="00233BAF" w:rsidRDefault="00857069">
            <w:pPr>
              <w:jc w:val="right"/>
            </w:pPr>
            <w:r>
              <w:rPr>
                <w:rFonts w:eastAsiaTheme="minorEastAsia"/>
                <w:color w:val="000000" w:themeColor="text1"/>
                <w:szCs w:val="21"/>
              </w:rPr>
              <w:t>36,849,590.41</w:t>
            </w:r>
          </w:p>
        </w:tc>
        <w:tc>
          <w:tcPr>
            <w:tcW w:w="0" w:type="auto"/>
            <w:vAlign w:val="center"/>
          </w:tcPr>
          <w:p w:rsidR="00233BAF" w:rsidRDefault="00857069">
            <w:pPr>
              <w:jc w:val="right"/>
            </w:pPr>
            <w:r>
              <w:rPr>
                <w:rFonts w:eastAsiaTheme="minorEastAsia"/>
                <w:color w:val="000000" w:themeColor="text1"/>
                <w:szCs w:val="21"/>
              </w:rPr>
              <w:t>6.47</w:t>
            </w:r>
          </w:p>
        </w:tc>
      </w:tr>
      <w:tr w:rsidR="00233BAF">
        <w:tc>
          <w:tcPr>
            <w:tcW w:w="0" w:type="auto"/>
            <w:vAlign w:val="center"/>
          </w:tcPr>
          <w:p w:rsidR="00233BAF" w:rsidRDefault="00857069">
            <w:pPr>
              <w:jc w:val="center"/>
            </w:pPr>
            <w:r>
              <w:rPr>
                <w:rFonts w:eastAsiaTheme="minorEastAsia"/>
                <w:color w:val="000000" w:themeColor="text1"/>
                <w:szCs w:val="21"/>
              </w:rPr>
              <w:t>6</w:t>
            </w:r>
          </w:p>
        </w:tc>
        <w:tc>
          <w:tcPr>
            <w:tcW w:w="0" w:type="auto"/>
            <w:vAlign w:val="center"/>
          </w:tcPr>
          <w:p w:rsidR="00233BAF" w:rsidRDefault="00857069">
            <w:pPr>
              <w:jc w:val="center"/>
            </w:pPr>
            <w:r>
              <w:rPr>
                <w:rFonts w:eastAsiaTheme="minorEastAsia"/>
                <w:color w:val="000000" w:themeColor="text1"/>
                <w:szCs w:val="21"/>
              </w:rPr>
              <w:t>JPM US AGGR BOND I (ACC)-USD</w:t>
            </w:r>
          </w:p>
        </w:tc>
        <w:tc>
          <w:tcPr>
            <w:tcW w:w="0" w:type="auto"/>
            <w:vAlign w:val="center"/>
          </w:tcPr>
          <w:p w:rsidR="00233BAF" w:rsidRDefault="00857069">
            <w:pPr>
              <w:jc w:val="center"/>
            </w:pPr>
            <w:r>
              <w:rPr>
                <w:rFonts w:eastAsiaTheme="minorEastAsia"/>
                <w:color w:val="000000" w:themeColor="text1"/>
                <w:szCs w:val="21"/>
              </w:rPr>
              <w:t>债券型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JPMorgan Asset Management (Europe) S.á r.l.</w:t>
            </w:r>
          </w:p>
        </w:tc>
        <w:tc>
          <w:tcPr>
            <w:tcW w:w="0" w:type="auto"/>
            <w:vAlign w:val="center"/>
          </w:tcPr>
          <w:p w:rsidR="00233BAF" w:rsidRDefault="00857069">
            <w:pPr>
              <w:jc w:val="right"/>
            </w:pPr>
            <w:r>
              <w:rPr>
                <w:rFonts w:eastAsiaTheme="minorEastAsia"/>
                <w:color w:val="000000" w:themeColor="text1"/>
                <w:szCs w:val="21"/>
              </w:rPr>
              <w:t>34,239,897.08</w:t>
            </w:r>
          </w:p>
        </w:tc>
        <w:tc>
          <w:tcPr>
            <w:tcW w:w="0" w:type="auto"/>
            <w:vAlign w:val="center"/>
          </w:tcPr>
          <w:p w:rsidR="00233BAF" w:rsidRDefault="00857069">
            <w:pPr>
              <w:jc w:val="right"/>
            </w:pPr>
            <w:r>
              <w:rPr>
                <w:rFonts w:eastAsiaTheme="minorEastAsia"/>
                <w:color w:val="000000" w:themeColor="text1"/>
                <w:szCs w:val="21"/>
              </w:rPr>
              <w:t>6.01</w:t>
            </w:r>
          </w:p>
        </w:tc>
      </w:tr>
      <w:tr w:rsidR="00233BAF">
        <w:tc>
          <w:tcPr>
            <w:tcW w:w="0" w:type="auto"/>
            <w:vAlign w:val="center"/>
          </w:tcPr>
          <w:p w:rsidR="00233BAF" w:rsidRDefault="00857069">
            <w:pPr>
              <w:jc w:val="center"/>
            </w:pPr>
            <w:r>
              <w:rPr>
                <w:rFonts w:eastAsiaTheme="minorEastAsia"/>
                <w:color w:val="000000" w:themeColor="text1"/>
                <w:szCs w:val="21"/>
              </w:rPr>
              <w:t>7</w:t>
            </w:r>
          </w:p>
        </w:tc>
        <w:tc>
          <w:tcPr>
            <w:tcW w:w="0" w:type="auto"/>
            <w:vAlign w:val="center"/>
          </w:tcPr>
          <w:p w:rsidR="00233BAF" w:rsidRDefault="00857069">
            <w:pPr>
              <w:jc w:val="center"/>
            </w:pPr>
            <w:r>
              <w:rPr>
                <w:rFonts w:eastAsiaTheme="minorEastAsia"/>
                <w:color w:val="000000" w:themeColor="text1"/>
                <w:szCs w:val="21"/>
              </w:rPr>
              <w:t>JPM EUR SEL EQ I (ACC) - USDHED</w:t>
            </w:r>
          </w:p>
        </w:tc>
        <w:tc>
          <w:tcPr>
            <w:tcW w:w="0" w:type="auto"/>
            <w:vAlign w:val="center"/>
          </w:tcPr>
          <w:p w:rsidR="00233BAF" w:rsidRDefault="00857069">
            <w:pPr>
              <w:jc w:val="center"/>
            </w:pPr>
            <w:r>
              <w:rPr>
                <w:rFonts w:eastAsiaTheme="minorEastAsia"/>
                <w:color w:val="000000" w:themeColor="text1"/>
                <w:szCs w:val="21"/>
              </w:rPr>
              <w:t>股票型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JPMorgan Asset Management (Europe) S.á r.l.</w:t>
            </w:r>
          </w:p>
        </w:tc>
        <w:tc>
          <w:tcPr>
            <w:tcW w:w="0" w:type="auto"/>
            <w:vAlign w:val="center"/>
          </w:tcPr>
          <w:p w:rsidR="00233BAF" w:rsidRDefault="00857069">
            <w:pPr>
              <w:jc w:val="right"/>
            </w:pPr>
            <w:r>
              <w:rPr>
                <w:rFonts w:eastAsiaTheme="minorEastAsia"/>
                <w:color w:val="000000" w:themeColor="text1"/>
                <w:szCs w:val="21"/>
              </w:rPr>
              <w:t>27,872,735.88</w:t>
            </w:r>
          </w:p>
        </w:tc>
        <w:tc>
          <w:tcPr>
            <w:tcW w:w="0" w:type="auto"/>
            <w:vAlign w:val="center"/>
          </w:tcPr>
          <w:p w:rsidR="00233BAF" w:rsidRDefault="00857069">
            <w:pPr>
              <w:jc w:val="right"/>
            </w:pPr>
            <w:r>
              <w:rPr>
                <w:rFonts w:eastAsiaTheme="minorEastAsia"/>
                <w:color w:val="000000" w:themeColor="text1"/>
                <w:szCs w:val="21"/>
              </w:rPr>
              <w:t>4.90</w:t>
            </w:r>
          </w:p>
        </w:tc>
      </w:tr>
      <w:tr w:rsidR="00233BAF">
        <w:tc>
          <w:tcPr>
            <w:tcW w:w="0" w:type="auto"/>
            <w:vAlign w:val="center"/>
          </w:tcPr>
          <w:p w:rsidR="00233BAF" w:rsidRDefault="00857069">
            <w:pPr>
              <w:jc w:val="center"/>
            </w:pPr>
            <w:r>
              <w:rPr>
                <w:rFonts w:eastAsiaTheme="minorEastAsia"/>
                <w:color w:val="000000" w:themeColor="text1"/>
                <w:szCs w:val="21"/>
              </w:rPr>
              <w:t>8</w:t>
            </w:r>
          </w:p>
        </w:tc>
        <w:tc>
          <w:tcPr>
            <w:tcW w:w="0" w:type="auto"/>
            <w:vAlign w:val="center"/>
          </w:tcPr>
          <w:p w:rsidR="00233BAF" w:rsidRDefault="00857069">
            <w:pPr>
              <w:jc w:val="center"/>
            </w:pPr>
            <w:r>
              <w:rPr>
                <w:rFonts w:eastAsiaTheme="minorEastAsia"/>
                <w:color w:val="000000" w:themeColor="text1"/>
                <w:szCs w:val="21"/>
              </w:rPr>
              <w:t>JPM EME MKT OPPS I(ACC)-USD</w:t>
            </w:r>
          </w:p>
        </w:tc>
        <w:tc>
          <w:tcPr>
            <w:tcW w:w="0" w:type="auto"/>
            <w:vAlign w:val="center"/>
          </w:tcPr>
          <w:p w:rsidR="00233BAF" w:rsidRDefault="00857069">
            <w:pPr>
              <w:jc w:val="center"/>
            </w:pPr>
            <w:r>
              <w:rPr>
                <w:rFonts w:eastAsiaTheme="minorEastAsia"/>
                <w:color w:val="000000" w:themeColor="text1"/>
                <w:szCs w:val="21"/>
              </w:rPr>
              <w:t>股票</w:t>
            </w:r>
            <w:r>
              <w:rPr>
                <w:rFonts w:eastAsiaTheme="minorEastAsia"/>
                <w:color w:val="000000" w:themeColor="text1"/>
                <w:szCs w:val="21"/>
              </w:rPr>
              <w:lastRenderedPageBreak/>
              <w:t>型</w:t>
            </w:r>
          </w:p>
        </w:tc>
        <w:tc>
          <w:tcPr>
            <w:tcW w:w="0" w:type="auto"/>
            <w:vAlign w:val="center"/>
          </w:tcPr>
          <w:p w:rsidR="00233BAF" w:rsidRDefault="00857069">
            <w:pPr>
              <w:jc w:val="center"/>
            </w:pPr>
            <w:r>
              <w:rPr>
                <w:rFonts w:eastAsiaTheme="minorEastAsia"/>
                <w:color w:val="000000" w:themeColor="text1"/>
                <w:szCs w:val="21"/>
              </w:rPr>
              <w:lastRenderedPageBreak/>
              <w:t>开放</w:t>
            </w:r>
            <w:r>
              <w:rPr>
                <w:rFonts w:eastAsiaTheme="minorEastAsia"/>
                <w:color w:val="000000" w:themeColor="text1"/>
                <w:szCs w:val="21"/>
              </w:rPr>
              <w:lastRenderedPageBreak/>
              <w:t>式</w:t>
            </w:r>
          </w:p>
        </w:tc>
        <w:tc>
          <w:tcPr>
            <w:tcW w:w="0" w:type="auto"/>
            <w:vAlign w:val="center"/>
          </w:tcPr>
          <w:p w:rsidR="00233BAF" w:rsidRDefault="00857069">
            <w:pPr>
              <w:jc w:val="center"/>
            </w:pPr>
            <w:r>
              <w:rPr>
                <w:rFonts w:eastAsiaTheme="minorEastAsia"/>
                <w:color w:val="000000" w:themeColor="text1"/>
                <w:szCs w:val="21"/>
              </w:rPr>
              <w:lastRenderedPageBreak/>
              <w:t xml:space="preserve">JPMorgan Asset Management (Europe) S.á </w:t>
            </w:r>
            <w:r>
              <w:rPr>
                <w:rFonts w:eastAsiaTheme="minorEastAsia"/>
                <w:color w:val="000000" w:themeColor="text1"/>
                <w:szCs w:val="21"/>
              </w:rPr>
              <w:lastRenderedPageBreak/>
              <w:t>r.l.</w:t>
            </w:r>
          </w:p>
        </w:tc>
        <w:tc>
          <w:tcPr>
            <w:tcW w:w="0" w:type="auto"/>
            <w:vAlign w:val="center"/>
          </w:tcPr>
          <w:p w:rsidR="00233BAF" w:rsidRDefault="00857069">
            <w:pPr>
              <w:jc w:val="right"/>
            </w:pPr>
            <w:r>
              <w:rPr>
                <w:rFonts w:eastAsiaTheme="minorEastAsia"/>
                <w:color w:val="000000" w:themeColor="text1"/>
                <w:szCs w:val="21"/>
              </w:rPr>
              <w:lastRenderedPageBreak/>
              <w:t>24,478,972.61</w:t>
            </w:r>
          </w:p>
        </w:tc>
        <w:tc>
          <w:tcPr>
            <w:tcW w:w="0" w:type="auto"/>
            <w:vAlign w:val="center"/>
          </w:tcPr>
          <w:p w:rsidR="00233BAF" w:rsidRDefault="00857069">
            <w:pPr>
              <w:jc w:val="right"/>
            </w:pPr>
            <w:r>
              <w:rPr>
                <w:rFonts w:eastAsiaTheme="minorEastAsia"/>
                <w:color w:val="000000" w:themeColor="text1"/>
                <w:szCs w:val="21"/>
              </w:rPr>
              <w:t>4.30</w:t>
            </w:r>
          </w:p>
        </w:tc>
      </w:tr>
      <w:tr w:rsidR="00233BAF">
        <w:tc>
          <w:tcPr>
            <w:tcW w:w="0" w:type="auto"/>
            <w:vAlign w:val="center"/>
          </w:tcPr>
          <w:p w:rsidR="00233BAF" w:rsidRDefault="00857069">
            <w:pPr>
              <w:jc w:val="center"/>
            </w:pPr>
            <w:r>
              <w:rPr>
                <w:rFonts w:eastAsiaTheme="minorEastAsia"/>
                <w:color w:val="000000" w:themeColor="text1"/>
                <w:szCs w:val="21"/>
              </w:rPr>
              <w:t>9</w:t>
            </w:r>
          </w:p>
        </w:tc>
        <w:tc>
          <w:tcPr>
            <w:tcW w:w="0" w:type="auto"/>
            <w:vAlign w:val="center"/>
          </w:tcPr>
          <w:p w:rsidR="00233BAF" w:rsidRDefault="00857069">
            <w:pPr>
              <w:jc w:val="center"/>
            </w:pPr>
            <w:r>
              <w:rPr>
                <w:rFonts w:eastAsiaTheme="minorEastAsia"/>
                <w:color w:val="000000" w:themeColor="text1"/>
                <w:szCs w:val="21"/>
              </w:rPr>
              <w:t>JPM EUR DYNAMIC I (ACC) - USDHED</w:t>
            </w:r>
          </w:p>
        </w:tc>
        <w:tc>
          <w:tcPr>
            <w:tcW w:w="0" w:type="auto"/>
            <w:vAlign w:val="center"/>
          </w:tcPr>
          <w:p w:rsidR="00233BAF" w:rsidRDefault="00857069">
            <w:pPr>
              <w:jc w:val="center"/>
            </w:pPr>
            <w:r>
              <w:rPr>
                <w:rFonts w:eastAsiaTheme="minorEastAsia"/>
                <w:color w:val="000000" w:themeColor="text1"/>
                <w:szCs w:val="21"/>
              </w:rPr>
              <w:t>股票型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JPMorgan Asset Management (Europe) S.á r.l.</w:t>
            </w:r>
          </w:p>
        </w:tc>
        <w:tc>
          <w:tcPr>
            <w:tcW w:w="0" w:type="auto"/>
            <w:vAlign w:val="center"/>
          </w:tcPr>
          <w:p w:rsidR="00233BAF" w:rsidRDefault="00857069">
            <w:pPr>
              <w:jc w:val="right"/>
            </w:pPr>
            <w:r>
              <w:rPr>
                <w:rFonts w:eastAsiaTheme="minorEastAsia"/>
                <w:color w:val="000000" w:themeColor="text1"/>
                <w:szCs w:val="21"/>
              </w:rPr>
              <w:t>23,298,958.04</w:t>
            </w:r>
          </w:p>
        </w:tc>
        <w:tc>
          <w:tcPr>
            <w:tcW w:w="0" w:type="auto"/>
            <w:vAlign w:val="center"/>
          </w:tcPr>
          <w:p w:rsidR="00233BAF" w:rsidRDefault="00857069">
            <w:pPr>
              <w:jc w:val="right"/>
            </w:pPr>
            <w:r>
              <w:rPr>
                <w:rFonts w:eastAsiaTheme="minorEastAsia"/>
                <w:color w:val="000000" w:themeColor="text1"/>
                <w:szCs w:val="21"/>
              </w:rPr>
              <w:t>4.09</w:t>
            </w:r>
          </w:p>
        </w:tc>
      </w:tr>
      <w:tr w:rsidR="00233BAF">
        <w:tc>
          <w:tcPr>
            <w:tcW w:w="0" w:type="auto"/>
            <w:vAlign w:val="center"/>
          </w:tcPr>
          <w:p w:rsidR="00233BAF" w:rsidRDefault="00857069">
            <w:pPr>
              <w:jc w:val="center"/>
            </w:pPr>
            <w:r>
              <w:rPr>
                <w:rFonts w:eastAsiaTheme="minorEastAsia"/>
                <w:color w:val="000000" w:themeColor="text1"/>
                <w:szCs w:val="21"/>
              </w:rPr>
              <w:t>10</w:t>
            </w:r>
          </w:p>
        </w:tc>
        <w:tc>
          <w:tcPr>
            <w:tcW w:w="0" w:type="auto"/>
            <w:vAlign w:val="center"/>
          </w:tcPr>
          <w:p w:rsidR="00233BAF" w:rsidRDefault="00857069">
            <w:pPr>
              <w:jc w:val="center"/>
            </w:pPr>
            <w:r>
              <w:rPr>
                <w:rFonts w:eastAsiaTheme="minorEastAsia"/>
                <w:color w:val="000000" w:themeColor="text1"/>
                <w:szCs w:val="21"/>
              </w:rPr>
              <w:t>JPM Jap Sust Eqy C (acc)USD(HD)</w:t>
            </w:r>
          </w:p>
        </w:tc>
        <w:tc>
          <w:tcPr>
            <w:tcW w:w="0" w:type="auto"/>
            <w:vAlign w:val="center"/>
          </w:tcPr>
          <w:p w:rsidR="00233BAF" w:rsidRDefault="00857069">
            <w:pPr>
              <w:jc w:val="center"/>
            </w:pPr>
            <w:r>
              <w:rPr>
                <w:rFonts w:eastAsiaTheme="minorEastAsia"/>
                <w:color w:val="000000" w:themeColor="text1"/>
                <w:szCs w:val="21"/>
              </w:rPr>
              <w:t>股票型</w:t>
            </w:r>
          </w:p>
        </w:tc>
        <w:tc>
          <w:tcPr>
            <w:tcW w:w="0" w:type="auto"/>
            <w:vAlign w:val="center"/>
          </w:tcPr>
          <w:p w:rsidR="00233BAF" w:rsidRDefault="00857069">
            <w:pPr>
              <w:jc w:val="center"/>
            </w:pPr>
            <w:r>
              <w:rPr>
                <w:rFonts w:eastAsiaTheme="minorEastAsia"/>
                <w:color w:val="000000" w:themeColor="text1"/>
                <w:szCs w:val="21"/>
              </w:rPr>
              <w:t>开放式</w:t>
            </w:r>
          </w:p>
        </w:tc>
        <w:tc>
          <w:tcPr>
            <w:tcW w:w="0" w:type="auto"/>
            <w:vAlign w:val="center"/>
          </w:tcPr>
          <w:p w:rsidR="00233BAF" w:rsidRDefault="00857069">
            <w:pPr>
              <w:jc w:val="center"/>
            </w:pPr>
            <w:r>
              <w:rPr>
                <w:rFonts w:eastAsiaTheme="minorEastAsia"/>
                <w:color w:val="000000" w:themeColor="text1"/>
                <w:szCs w:val="21"/>
              </w:rPr>
              <w:t>JPMorgan Asset Management (Europe) S.á r.l.</w:t>
            </w:r>
          </w:p>
        </w:tc>
        <w:tc>
          <w:tcPr>
            <w:tcW w:w="0" w:type="auto"/>
            <w:vAlign w:val="center"/>
          </w:tcPr>
          <w:p w:rsidR="00233BAF" w:rsidRDefault="00857069">
            <w:pPr>
              <w:jc w:val="right"/>
            </w:pPr>
            <w:r>
              <w:rPr>
                <w:rFonts w:eastAsiaTheme="minorEastAsia"/>
                <w:color w:val="000000" w:themeColor="text1"/>
                <w:szCs w:val="21"/>
              </w:rPr>
              <w:t>22,158,075.08</w:t>
            </w:r>
          </w:p>
        </w:tc>
        <w:tc>
          <w:tcPr>
            <w:tcW w:w="0" w:type="auto"/>
            <w:vAlign w:val="center"/>
          </w:tcPr>
          <w:p w:rsidR="00233BAF" w:rsidRDefault="00857069">
            <w:pPr>
              <w:jc w:val="right"/>
            </w:pPr>
            <w:r>
              <w:rPr>
                <w:rFonts w:eastAsiaTheme="minorEastAsia"/>
                <w:color w:val="000000" w:themeColor="text1"/>
                <w:szCs w:val="21"/>
              </w:rPr>
              <w:t>3.89</w:t>
            </w:r>
          </w:p>
        </w:tc>
      </w:tr>
    </w:tbl>
    <w:p w:rsidR="0076518F" w:rsidRPr="00A3398F"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3398F" w:rsidRDefault="00B55EA7" w:rsidP="0049659A">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w:t>
      </w:r>
      <w:r w:rsidR="0076518F" w:rsidRPr="00A3398F">
        <w:rPr>
          <w:rFonts w:eastAsiaTheme="minorEastAsia"/>
          <w:b/>
          <w:color w:val="000000" w:themeColor="text1"/>
          <w:kern w:val="0"/>
          <w:sz w:val="24"/>
        </w:rPr>
        <w:t>.</w:t>
      </w:r>
      <w:r w:rsidRPr="00A3398F">
        <w:rPr>
          <w:rFonts w:eastAsiaTheme="minorEastAsia"/>
          <w:b/>
          <w:color w:val="000000" w:themeColor="text1"/>
          <w:kern w:val="0"/>
          <w:sz w:val="24"/>
        </w:rPr>
        <w:t>10</w:t>
      </w:r>
      <w:r w:rsidR="0076518F" w:rsidRPr="00A3398F">
        <w:rPr>
          <w:rFonts w:eastAsiaTheme="minorEastAsia"/>
          <w:b/>
          <w:color w:val="000000" w:themeColor="text1"/>
          <w:kern w:val="0"/>
          <w:sz w:val="24"/>
        </w:rPr>
        <w:t xml:space="preserve"> </w:t>
      </w:r>
      <w:r w:rsidR="0076518F" w:rsidRPr="00A3398F">
        <w:rPr>
          <w:rFonts w:eastAsiaTheme="minorEastAsia"/>
          <w:b/>
          <w:color w:val="000000" w:themeColor="text1"/>
          <w:kern w:val="0"/>
          <w:sz w:val="24"/>
        </w:rPr>
        <w:t>投资组合报告附注</w:t>
      </w:r>
    </w:p>
    <w:p w:rsidR="00B55EA7" w:rsidRPr="00A3398F" w:rsidRDefault="00B55EA7" w:rsidP="000E3F11">
      <w:pPr>
        <w:widowControl/>
        <w:spacing w:line="360" w:lineRule="auto"/>
        <w:ind w:left="120" w:hangingChars="50" w:hanging="120"/>
        <w:rPr>
          <w:rFonts w:eastAsiaTheme="minorEastAsia"/>
          <w:color w:val="000000" w:themeColor="text1"/>
          <w:sz w:val="24"/>
        </w:rPr>
      </w:pPr>
      <w:r w:rsidRPr="00A3398F">
        <w:rPr>
          <w:rFonts w:eastAsiaTheme="minorEastAsia"/>
          <w:color w:val="000000" w:themeColor="text1"/>
          <w:sz w:val="24"/>
        </w:rPr>
        <w:t>5.10.1</w:t>
      </w:r>
      <w:r w:rsidRPr="00A3398F">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3398F" w:rsidRDefault="00B55EA7" w:rsidP="00B55EA7">
      <w:pPr>
        <w:widowControl/>
        <w:spacing w:line="360" w:lineRule="auto"/>
        <w:rPr>
          <w:rFonts w:eastAsiaTheme="minorEastAsia"/>
          <w:color w:val="000000" w:themeColor="text1"/>
          <w:sz w:val="24"/>
        </w:rPr>
      </w:pPr>
      <w:r w:rsidRPr="00A3398F">
        <w:rPr>
          <w:rFonts w:eastAsiaTheme="minorEastAsia"/>
          <w:color w:val="000000" w:themeColor="text1"/>
          <w:sz w:val="24"/>
        </w:rPr>
        <w:t>5.10.2</w:t>
      </w:r>
      <w:r w:rsidRPr="00A3398F">
        <w:rPr>
          <w:rFonts w:eastAsiaTheme="minorEastAsia"/>
          <w:color w:val="000000" w:themeColor="text1"/>
          <w:sz w:val="24"/>
        </w:rPr>
        <w:t>报告期内本基金投资的前十名股票中没有在基金合同规定备选股票库之外的股票。</w:t>
      </w:r>
    </w:p>
    <w:p w:rsidR="0076518F" w:rsidRPr="00A3398F" w:rsidRDefault="008C71EB" w:rsidP="0049659A">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.3</w:t>
      </w:r>
      <w:r w:rsidR="0076518F" w:rsidRPr="00A3398F">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3398F" w:rsidTr="004C05F3">
        <w:tc>
          <w:tcPr>
            <w:tcW w:w="802"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序号</w:t>
            </w:r>
          </w:p>
        </w:tc>
        <w:tc>
          <w:tcPr>
            <w:tcW w:w="2903"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名称</w:t>
            </w:r>
          </w:p>
        </w:tc>
        <w:tc>
          <w:tcPr>
            <w:tcW w:w="4808" w:type="dxa"/>
            <w:vAlign w:val="center"/>
          </w:tcPr>
          <w:p w:rsidR="002C2678" w:rsidRPr="00A3398F"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金额</w:t>
            </w:r>
            <w:r w:rsidRPr="00A3398F">
              <w:rPr>
                <w:rFonts w:eastAsiaTheme="minorEastAsia"/>
                <w:color w:val="000000" w:themeColor="text1"/>
                <w:kern w:val="0"/>
                <w:szCs w:val="21"/>
              </w:rPr>
              <w:t>(</w:t>
            </w:r>
            <w:r w:rsidR="00C42431" w:rsidRPr="00A3398F">
              <w:rPr>
                <w:rFonts w:eastAsiaTheme="minorEastAsia"/>
                <w:color w:val="000000" w:themeColor="text1"/>
                <w:kern w:val="0"/>
                <w:szCs w:val="21"/>
              </w:rPr>
              <w:t>人民币</w:t>
            </w:r>
            <w:r w:rsidRPr="00A3398F">
              <w:rPr>
                <w:rFonts w:eastAsiaTheme="minorEastAsia"/>
                <w:color w:val="000000" w:themeColor="text1"/>
                <w:kern w:val="0"/>
                <w:szCs w:val="21"/>
              </w:rPr>
              <w:t>元</w:t>
            </w: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3398F">
              <w:rPr>
                <w:rFonts w:eastAsiaTheme="minorEastAsia"/>
                <w:color w:val="000000" w:themeColor="text1"/>
                <w:szCs w:val="21"/>
              </w:rPr>
              <w:t>1</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存出保证金</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2</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应收证券清算款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3</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应收股利</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4</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应收利息</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5</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应收申购款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4,386,417.52</w:t>
            </w:r>
          </w:p>
        </w:tc>
      </w:tr>
      <w:tr w:rsidR="008277FF" w:rsidRPr="00A3398F" w:rsidTr="009E3391">
        <w:tc>
          <w:tcPr>
            <w:tcW w:w="802" w:type="dxa"/>
            <w:vAlign w:val="center"/>
          </w:tcPr>
          <w:p w:rsidR="002C2678" w:rsidRPr="00A3398F"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6</w:t>
            </w:r>
          </w:p>
        </w:tc>
        <w:tc>
          <w:tcPr>
            <w:tcW w:w="2903" w:type="dxa"/>
            <w:vAlign w:val="center"/>
          </w:tcPr>
          <w:p w:rsidR="002C2678" w:rsidRPr="00A3398F"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其他应收款</w:t>
            </w:r>
          </w:p>
        </w:tc>
        <w:tc>
          <w:tcPr>
            <w:tcW w:w="4808" w:type="dxa"/>
            <w:vAlign w:val="center"/>
          </w:tcPr>
          <w:p w:rsidR="002C2678" w:rsidRPr="00A3398F"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7</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szCs w:val="21"/>
              </w:rPr>
            </w:pPr>
            <w:r w:rsidRPr="00A3398F">
              <w:rPr>
                <w:rFonts w:eastAsiaTheme="minorEastAsia"/>
                <w:color w:val="000000" w:themeColor="text1"/>
                <w:szCs w:val="21"/>
              </w:rPr>
              <w:t>待摊费用</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3398F">
              <w:rPr>
                <w:rFonts w:eastAsiaTheme="minorEastAsia"/>
                <w:color w:val="000000" w:themeColor="text1"/>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8</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其他</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w:t>
            </w:r>
          </w:p>
        </w:tc>
      </w:tr>
      <w:tr w:rsidR="008277FF" w:rsidRPr="00A3398F" w:rsidTr="009E3391">
        <w:tc>
          <w:tcPr>
            <w:tcW w:w="802" w:type="dxa"/>
            <w:vAlign w:val="center"/>
          </w:tcPr>
          <w:p w:rsidR="00F951CF" w:rsidRPr="00A3398F"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3398F">
              <w:rPr>
                <w:rFonts w:eastAsiaTheme="minorEastAsia"/>
                <w:color w:val="000000" w:themeColor="text1"/>
                <w:szCs w:val="21"/>
              </w:rPr>
              <w:t>9</w:t>
            </w:r>
          </w:p>
        </w:tc>
        <w:tc>
          <w:tcPr>
            <w:tcW w:w="2903" w:type="dxa"/>
            <w:vAlign w:val="center"/>
          </w:tcPr>
          <w:p w:rsidR="00F951CF" w:rsidRPr="00A3398F"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3398F">
              <w:rPr>
                <w:rFonts w:eastAsiaTheme="minorEastAsia"/>
                <w:color w:val="000000" w:themeColor="text1"/>
                <w:kern w:val="0"/>
                <w:szCs w:val="21"/>
              </w:rPr>
              <w:t>合计</w:t>
            </w:r>
          </w:p>
        </w:tc>
        <w:tc>
          <w:tcPr>
            <w:tcW w:w="4808" w:type="dxa"/>
            <w:vAlign w:val="center"/>
          </w:tcPr>
          <w:p w:rsidR="00F951CF" w:rsidRPr="00A3398F"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4,386,417.52</w:t>
            </w:r>
          </w:p>
        </w:tc>
      </w:tr>
    </w:tbl>
    <w:p w:rsidR="00A22D4B" w:rsidRPr="00A3398F"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.4</w:t>
      </w:r>
      <w:r w:rsidR="0076518F" w:rsidRPr="00A3398F">
        <w:rPr>
          <w:rFonts w:eastAsiaTheme="minorEastAsia"/>
          <w:b/>
          <w:color w:val="000000" w:themeColor="text1"/>
          <w:kern w:val="0"/>
          <w:sz w:val="24"/>
        </w:rPr>
        <w:t>报告期末持有的处于转股期的可转换债券明细</w:t>
      </w:r>
    </w:p>
    <w:p w:rsidR="000A55BD" w:rsidRPr="00A3398F" w:rsidRDefault="000A55BD"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本基金本报告期末未持有处于转股期的可转换债券。</w:t>
      </w:r>
    </w:p>
    <w:p w:rsidR="009E3391" w:rsidRPr="00A3398F" w:rsidRDefault="009E3391" w:rsidP="002236BC">
      <w:pPr>
        <w:autoSpaceDE w:val="0"/>
        <w:autoSpaceDN w:val="0"/>
        <w:adjustRightInd w:val="0"/>
        <w:spacing w:line="360" w:lineRule="auto"/>
        <w:jc w:val="left"/>
        <w:rPr>
          <w:rFonts w:eastAsiaTheme="minorEastAsia"/>
          <w:color w:val="000000" w:themeColor="text1"/>
          <w:szCs w:val="21"/>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 xml:space="preserve">.5 </w:t>
      </w:r>
      <w:r w:rsidR="0076518F" w:rsidRPr="00A3398F">
        <w:rPr>
          <w:rFonts w:eastAsiaTheme="minorEastAsia"/>
          <w:b/>
          <w:color w:val="000000" w:themeColor="text1"/>
          <w:kern w:val="0"/>
          <w:sz w:val="24"/>
        </w:rPr>
        <w:t>报告期末前十名股票中存在流通受限情况的说明</w:t>
      </w:r>
    </w:p>
    <w:p w:rsidR="000A55BD" w:rsidRPr="00A3398F" w:rsidRDefault="000A55BD" w:rsidP="002236BC">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本基金本报告期末前十名股票中不存在流通受限情况。</w:t>
      </w:r>
    </w:p>
    <w:p w:rsidR="000E3B88" w:rsidRPr="00A3398F" w:rsidRDefault="000E3B88" w:rsidP="002236BC">
      <w:pPr>
        <w:autoSpaceDE w:val="0"/>
        <w:autoSpaceDN w:val="0"/>
        <w:adjustRightInd w:val="0"/>
        <w:spacing w:line="360" w:lineRule="auto"/>
        <w:jc w:val="left"/>
        <w:rPr>
          <w:rFonts w:eastAsiaTheme="minorEastAsia"/>
          <w:color w:val="000000" w:themeColor="text1"/>
          <w:sz w:val="24"/>
        </w:rPr>
      </w:pPr>
    </w:p>
    <w:p w:rsidR="0076518F" w:rsidRPr="00A3398F" w:rsidRDefault="008C71EB" w:rsidP="00EC4BA3">
      <w:pPr>
        <w:autoSpaceDE w:val="0"/>
        <w:autoSpaceDN w:val="0"/>
        <w:adjustRightInd w:val="0"/>
        <w:spacing w:line="360" w:lineRule="auto"/>
        <w:jc w:val="left"/>
        <w:rPr>
          <w:rFonts w:eastAsiaTheme="minorEastAsia"/>
          <w:b/>
          <w:color w:val="000000" w:themeColor="text1"/>
          <w:kern w:val="0"/>
          <w:sz w:val="24"/>
        </w:rPr>
      </w:pPr>
      <w:r w:rsidRPr="00A3398F">
        <w:rPr>
          <w:rFonts w:eastAsiaTheme="minorEastAsia"/>
          <w:b/>
          <w:color w:val="000000" w:themeColor="text1"/>
          <w:kern w:val="0"/>
          <w:sz w:val="24"/>
        </w:rPr>
        <w:lastRenderedPageBreak/>
        <w:t>5.1</w:t>
      </w:r>
      <w:r w:rsidR="002A0FA2" w:rsidRPr="00A3398F">
        <w:rPr>
          <w:rFonts w:eastAsiaTheme="minorEastAsia"/>
          <w:b/>
          <w:color w:val="000000" w:themeColor="text1"/>
          <w:kern w:val="0"/>
          <w:sz w:val="24"/>
        </w:rPr>
        <w:t>0</w:t>
      </w:r>
      <w:r w:rsidR="0076518F" w:rsidRPr="00A3398F">
        <w:rPr>
          <w:rFonts w:eastAsiaTheme="minorEastAsia"/>
          <w:b/>
          <w:color w:val="000000" w:themeColor="text1"/>
          <w:kern w:val="0"/>
          <w:sz w:val="24"/>
        </w:rPr>
        <w:t>.6</w:t>
      </w:r>
      <w:r w:rsidR="001C46E1" w:rsidRPr="00A3398F">
        <w:rPr>
          <w:rFonts w:eastAsiaTheme="minorEastAsia"/>
          <w:b/>
          <w:color w:val="000000" w:themeColor="text1"/>
          <w:kern w:val="0"/>
          <w:sz w:val="24"/>
        </w:rPr>
        <w:t>投资组合报告附注的其他文字描述部分</w:t>
      </w:r>
    </w:p>
    <w:p w:rsidR="000A55BD" w:rsidRPr="00A3398F" w:rsidRDefault="000A55BD" w:rsidP="009E3391">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因四舍五入原因，投资组合报告中分项之和与合计可能存在尾差。</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t xml:space="preserve">§6  </w:t>
      </w:r>
      <w:r w:rsidRPr="00A3398F">
        <w:rPr>
          <w:rFonts w:eastAsiaTheme="minorEastAsia"/>
          <w:color w:val="000000" w:themeColor="text1"/>
          <w:kern w:val="0"/>
          <w:sz w:val="24"/>
          <w:szCs w:val="24"/>
        </w:rPr>
        <w:t>开放式基金份额变动</w:t>
      </w:r>
    </w:p>
    <w:p w:rsidR="0076518F" w:rsidRPr="00A3398F"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3398F">
        <w:rPr>
          <w:rFonts w:eastAsiaTheme="minorEastAsia"/>
          <w:color w:val="000000" w:themeColor="text1"/>
          <w:kern w:val="0"/>
          <w:szCs w:val="21"/>
        </w:rPr>
        <w:t>单位：份</w:t>
      </w:r>
    </w:p>
    <w:tbl>
      <w:tblPr>
        <w:tblW w:w="8634" w:type="dxa"/>
        <w:tblInd w:w="108" w:type="dxa"/>
        <w:tblLayout w:type="fixed"/>
        <w:tblLook w:val="0000" w:firstRow="0" w:lastRow="0" w:firstColumn="0" w:lastColumn="0" w:noHBand="0" w:noVBand="0"/>
      </w:tblPr>
      <w:tblGrid>
        <w:gridCol w:w="3900"/>
        <w:gridCol w:w="2367"/>
        <w:gridCol w:w="2367"/>
      </w:tblGrid>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center"/>
              <w:rPr>
                <w:rFonts w:eastAsiaTheme="minorEastAsia"/>
                <w:color w:val="000000" w:themeColor="text1"/>
                <w:kern w:val="0"/>
                <w:szCs w:val="21"/>
              </w:rPr>
            </w:pPr>
            <w:r w:rsidRPr="00A3398F">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摩根全球多元配置</w:t>
            </w:r>
            <w:r w:rsidRPr="00A3398F">
              <w:rPr>
                <w:rFonts w:eastAsiaTheme="minorEastAsia"/>
                <w:color w:val="000000" w:themeColor="text1"/>
                <w:szCs w:val="21"/>
              </w:rPr>
              <w:t>(QDII-FOF)</w:t>
            </w:r>
            <w:r w:rsidRPr="00A3398F">
              <w:rPr>
                <w:rFonts w:eastAsiaTheme="minorEastAsia"/>
                <w:color w:val="000000" w:themeColor="text1"/>
                <w:szCs w:val="21"/>
              </w:rPr>
              <w:t>人民币</w:t>
            </w:r>
            <w:r w:rsidRPr="00A3398F">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摩根全球多元配置</w:t>
            </w:r>
            <w:r w:rsidRPr="00A3398F">
              <w:rPr>
                <w:rFonts w:eastAsiaTheme="minorEastAsia"/>
                <w:color w:val="000000" w:themeColor="text1"/>
                <w:szCs w:val="21"/>
              </w:rPr>
              <w:t>(QDII-FOF)</w:t>
            </w:r>
            <w:r w:rsidRPr="00A3398F">
              <w:rPr>
                <w:rFonts w:eastAsiaTheme="minorEastAsia"/>
                <w:color w:val="000000" w:themeColor="text1"/>
                <w:szCs w:val="21"/>
              </w:rPr>
              <w:t>人民币</w:t>
            </w:r>
            <w:r w:rsidRPr="00A3398F">
              <w:rPr>
                <w:rFonts w:eastAsiaTheme="minorEastAsia"/>
                <w:color w:val="000000" w:themeColor="text1"/>
                <w:szCs w:val="21"/>
              </w:rPr>
              <w:t>C</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305,605,272.31</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1,838,576.18</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37,802,046.62</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29,746,387.97</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20,784,468.36</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2,628,921.10</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w:t>
            </w:r>
          </w:p>
        </w:tc>
      </w:tr>
      <w:tr w:rsidR="00225051" w:rsidRPr="00A3398F" w:rsidTr="00225051">
        <w:tc>
          <w:tcPr>
            <w:tcW w:w="3900"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left"/>
              <w:rPr>
                <w:rFonts w:eastAsiaTheme="minorEastAsia"/>
                <w:color w:val="000000" w:themeColor="text1"/>
                <w:kern w:val="0"/>
                <w:szCs w:val="21"/>
              </w:rPr>
            </w:pPr>
            <w:r w:rsidRPr="00A3398F">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322,622,850.57</w:t>
            </w:r>
          </w:p>
        </w:tc>
        <w:tc>
          <w:tcPr>
            <w:tcW w:w="2367" w:type="dxa"/>
            <w:tcBorders>
              <w:top w:val="single" w:sz="8" w:space="0" w:color="000000"/>
              <w:left w:val="single" w:sz="8" w:space="0" w:color="000000"/>
              <w:bottom w:val="single" w:sz="8" w:space="0" w:color="000000"/>
              <w:right w:val="single" w:sz="8" w:space="0" w:color="000000"/>
            </w:tcBorders>
            <w:vAlign w:val="center"/>
          </w:tcPr>
          <w:p w:rsidR="00225051" w:rsidRPr="00A3398F" w:rsidRDefault="00225051" w:rsidP="00845292">
            <w:pPr>
              <w:autoSpaceDE w:val="0"/>
              <w:autoSpaceDN w:val="0"/>
              <w:adjustRightInd w:val="0"/>
              <w:spacing w:before="29" w:line="360" w:lineRule="auto"/>
              <w:ind w:left="17"/>
              <w:jc w:val="right"/>
              <w:rPr>
                <w:rFonts w:eastAsiaTheme="minorEastAsia"/>
                <w:color w:val="000000" w:themeColor="text1"/>
                <w:szCs w:val="21"/>
              </w:rPr>
            </w:pPr>
            <w:r w:rsidRPr="00A3398F">
              <w:rPr>
                <w:rFonts w:eastAsiaTheme="minorEastAsia"/>
                <w:color w:val="000000" w:themeColor="text1"/>
                <w:szCs w:val="21"/>
              </w:rPr>
              <w:t>28,956,043.05</w:t>
            </w:r>
          </w:p>
        </w:tc>
      </w:tr>
    </w:tbl>
    <w:p w:rsidR="00BB5F3D" w:rsidRPr="00A3398F" w:rsidRDefault="00BB5F3D" w:rsidP="009E705F">
      <w:pPr>
        <w:pStyle w:val="1"/>
        <w:tabs>
          <w:tab w:val="center" w:pos="4156"/>
          <w:tab w:val="right" w:pos="8312"/>
        </w:tabs>
        <w:spacing w:beforeLines="100" w:before="312" w:afterLines="100" w:after="312" w:line="360" w:lineRule="auto"/>
        <w:jc w:val="center"/>
        <w:rPr>
          <w:color w:val="000000" w:themeColor="text1"/>
          <w:sz w:val="24"/>
          <w:szCs w:val="24"/>
        </w:rPr>
      </w:pPr>
      <w:r w:rsidRPr="00A3398F">
        <w:rPr>
          <w:rFonts w:eastAsiaTheme="minorEastAsia"/>
          <w:color w:val="000000" w:themeColor="text1"/>
          <w:kern w:val="0"/>
          <w:sz w:val="24"/>
          <w:szCs w:val="24"/>
        </w:rPr>
        <w:t xml:space="preserve">§7  </w:t>
      </w:r>
      <w:r w:rsidRPr="00A3398F">
        <w:rPr>
          <w:color w:val="000000" w:themeColor="text1"/>
          <w:sz w:val="24"/>
          <w:szCs w:val="24"/>
        </w:rPr>
        <w:t>基金管理人运用固有资金投资本基金情况</w:t>
      </w:r>
    </w:p>
    <w:p w:rsidR="00D678E4" w:rsidRPr="00B76BBB" w:rsidRDefault="00D678E4" w:rsidP="00D678E4">
      <w:pPr>
        <w:spacing w:line="360" w:lineRule="auto"/>
        <w:jc w:val="left"/>
        <w:rPr>
          <w:sz w:val="24"/>
        </w:rPr>
      </w:pPr>
      <w:r>
        <w:rPr>
          <w:b/>
          <w:sz w:val="24"/>
        </w:rPr>
        <w:t xml:space="preserve">7.1 </w:t>
      </w:r>
      <w:r>
        <w:rPr>
          <w:rFonts w:hint="eastAsia"/>
          <w:b/>
          <w:sz w:val="24"/>
        </w:rPr>
        <w:t>基</w:t>
      </w:r>
      <w:r w:rsidRPr="00B404F1">
        <w:rPr>
          <w:rFonts w:hint="eastAsia"/>
          <w:b/>
          <w:sz w:val="24"/>
        </w:rPr>
        <w:t>金管理人持有本基金份额变动情况</w:t>
      </w:r>
    </w:p>
    <w:p w:rsidR="00D678E4" w:rsidRPr="00266D4B" w:rsidRDefault="00D678E4" w:rsidP="00D678E4">
      <w:pPr>
        <w:autoSpaceDE w:val="0"/>
        <w:autoSpaceDN w:val="0"/>
        <w:adjustRightInd w:val="0"/>
        <w:spacing w:before="29" w:line="288" w:lineRule="auto"/>
        <w:ind w:left="15" w:right="480"/>
        <w:jc w:val="right"/>
        <w:rPr>
          <w:color w:val="000000"/>
          <w:kern w:val="0"/>
          <w:sz w:val="24"/>
        </w:rPr>
      </w:pPr>
      <w:r w:rsidRPr="00266D4B">
        <w:rPr>
          <w:color w:val="000000"/>
          <w:kern w:val="0"/>
          <w:sz w:val="24"/>
        </w:rPr>
        <w:t>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7"/>
        <w:gridCol w:w="2616"/>
        <w:gridCol w:w="2631"/>
      </w:tblGrid>
      <w:tr w:rsidR="00D678E4" w:rsidRPr="00E90B39" w:rsidTr="00D769A5">
        <w:trPr>
          <w:trHeight w:val="248"/>
        </w:trPr>
        <w:tc>
          <w:tcPr>
            <w:tcW w:w="3167" w:type="dxa"/>
            <w:vAlign w:val="center"/>
          </w:tcPr>
          <w:p w:rsidR="00D678E4" w:rsidRPr="00FA472B" w:rsidRDefault="00D678E4" w:rsidP="00D769A5">
            <w:pPr>
              <w:autoSpaceDE w:val="0"/>
              <w:autoSpaceDN w:val="0"/>
              <w:adjustRightInd w:val="0"/>
              <w:spacing w:before="29" w:line="360" w:lineRule="auto"/>
              <w:ind w:left="15"/>
              <w:jc w:val="center"/>
              <w:rPr>
                <w:color w:val="000000"/>
                <w:kern w:val="0"/>
                <w:sz w:val="24"/>
              </w:rPr>
            </w:pPr>
            <w:r w:rsidRPr="00FA472B">
              <w:rPr>
                <w:color w:val="000000"/>
                <w:kern w:val="0"/>
                <w:sz w:val="24"/>
              </w:rPr>
              <w:t>项目</w:t>
            </w:r>
          </w:p>
        </w:tc>
        <w:tc>
          <w:tcPr>
            <w:tcW w:w="2616" w:type="dxa"/>
            <w:vAlign w:val="bottom"/>
          </w:tcPr>
          <w:p w:rsidR="00D678E4" w:rsidRPr="00FA472B" w:rsidRDefault="00D678E4" w:rsidP="00D769A5">
            <w:pPr>
              <w:jc w:val="center"/>
              <w:rPr>
                <w:sz w:val="24"/>
              </w:rPr>
            </w:pPr>
            <w:r w:rsidRPr="00FA472B">
              <w:rPr>
                <w:sz w:val="24"/>
              </w:rPr>
              <w:t>摩根全球多元配置</w:t>
            </w:r>
            <w:r w:rsidRPr="00FA472B">
              <w:rPr>
                <w:sz w:val="24"/>
              </w:rPr>
              <w:t>(QDII-FOF)</w:t>
            </w:r>
            <w:r w:rsidRPr="00FA472B">
              <w:rPr>
                <w:sz w:val="24"/>
              </w:rPr>
              <w:t>人民币</w:t>
            </w:r>
            <w:r w:rsidRPr="00FA472B">
              <w:rPr>
                <w:sz w:val="24"/>
              </w:rPr>
              <w:t>A</w:t>
            </w:r>
          </w:p>
        </w:tc>
        <w:tc>
          <w:tcPr>
            <w:tcW w:w="2631" w:type="dxa"/>
            <w:vAlign w:val="bottom"/>
          </w:tcPr>
          <w:p w:rsidR="00D678E4" w:rsidRPr="00FA472B" w:rsidRDefault="00D678E4" w:rsidP="00D769A5">
            <w:pPr>
              <w:jc w:val="center"/>
              <w:rPr>
                <w:sz w:val="24"/>
              </w:rPr>
            </w:pPr>
            <w:r w:rsidRPr="00FA472B">
              <w:rPr>
                <w:sz w:val="24"/>
              </w:rPr>
              <w:t>摩根全球多元配置</w:t>
            </w:r>
            <w:r w:rsidRPr="00FA472B">
              <w:rPr>
                <w:sz w:val="24"/>
              </w:rPr>
              <w:t>(QDII-FOF)</w:t>
            </w:r>
            <w:r w:rsidRPr="00FA472B">
              <w:rPr>
                <w:sz w:val="24"/>
              </w:rPr>
              <w:t>人民币</w:t>
            </w:r>
            <w:r w:rsidRPr="00FA472B">
              <w:rPr>
                <w:sz w:val="24"/>
              </w:rPr>
              <w:t>C</w:t>
            </w:r>
          </w:p>
        </w:tc>
      </w:tr>
      <w:tr w:rsidR="00D678E4" w:rsidRPr="00E90B39" w:rsidTr="00D769A5">
        <w:trPr>
          <w:trHeight w:val="247"/>
        </w:trPr>
        <w:tc>
          <w:tcPr>
            <w:tcW w:w="3167" w:type="dxa"/>
            <w:vAlign w:val="center"/>
          </w:tcPr>
          <w:p w:rsidR="00D678E4" w:rsidRPr="00FA472B" w:rsidRDefault="00D678E4" w:rsidP="00D769A5">
            <w:pPr>
              <w:pStyle w:val="af"/>
              <w:adjustRightInd w:val="0"/>
              <w:snapToGrid w:val="0"/>
              <w:spacing w:line="360" w:lineRule="exact"/>
              <w:rPr>
                <w:color w:val="000000"/>
                <w:szCs w:val="24"/>
              </w:rPr>
            </w:pPr>
            <w:r w:rsidRPr="00FA472B">
              <w:rPr>
                <w:color w:val="000000"/>
                <w:szCs w:val="24"/>
              </w:rPr>
              <w:t>报告期期初管理人持有的本基金份额</w:t>
            </w:r>
          </w:p>
        </w:tc>
        <w:tc>
          <w:tcPr>
            <w:tcW w:w="2616" w:type="dxa"/>
            <w:vAlign w:val="center"/>
          </w:tcPr>
          <w:p w:rsidR="00D678E4" w:rsidRPr="00FA472B" w:rsidRDefault="00D678E4" w:rsidP="00D769A5">
            <w:pPr>
              <w:jc w:val="right"/>
              <w:rPr>
                <w:sz w:val="24"/>
              </w:rPr>
            </w:pPr>
            <w:r w:rsidRPr="00FA472B">
              <w:rPr>
                <w:color w:val="000000"/>
                <w:sz w:val="24"/>
              </w:rPr>
              <w:t>120,889.40</w:t>
            </w:r>
          </w:p>
        </w:tc>
        <w:tc>
          <w:tcPr>
            <w:tcW w:w="2631" w:type="dxa"/>
            <w:vAlign w:val="center"/>
          </w:tcPr>
          <w:p w:rsidR="00D678E4" w:rsidRPr="00FA472B" w:rsidRDefault="00D678E4" w:rsidP="00D769A5">
            <w:pPr>
              <w:jc w:val="right"/>
              <w:rPr>
                <w:sz w:val="24"/>
              </w:rPr>
            </w:pPr>
            <w:r w:rsidRPr="00FA472B">
              <w:rPr>
                <w:color w:val="000000"/>
                <w:sz w:val="24"/>
              </w:rPr>
              <w:t>-</w:t>
            </w:r>
          </w:p>
        </w:tc>
      </w:tr>
      <w:tr w:rsidR="00D678E4" w:rsidRPr="00E90B39" w:rsidTr="00D769A5">
        <w:tc>
          <w:tcPr>
            <w:tcW w:w="3167" w:type="dxa"/>
            <w:vAlign w:val="center"/>
          </w:tcPr>
          <w:p w:rsidR="00D678E4" w:rsidRPr="00FA472B" w:rsidRDefault="00D678E4" w:rsidP="00D769A5">
            <w:pPr>
              <w:adjustRightInd w:val="0"/>
              <w:snapToGrid w:val="0"/>
              <w:spacing w:line="360" w:lineRule="exact"/>
              <w:rPr>
                <w:color w:val="000000"/>
                <w:sz w:val="24"/>
              </w:rPr>
            </w:pPr>
            <w:r w:rsidRPr="003B42FF">
              <w:rPr>
                <w:rFonts w:eastAsiaTheme="minorEastAsia"/>
                <w:color w:val="000000" w:themeColor="text1"/>
                <w:kern w:val="0"/>
                <w:sz w:val="24"/>
              </w:rPr>
              <w:t>报告期期间</w:t>
            </w:r>
            <w:r w:rsidRPr="00FA472B">
              <w:rPr>
                <w:color w:val="000000"/>
                <w:kern w:val="0"/>
                <w:sz w:val="24"/>
              </w:rPr>
              <w:t>期间</w:t>
            </w:r>
            <w:r w:rsidRPr="00FA472B">
              <w:rPr>
                <w:color w:val="000000"/>
                <w:sz w:val="24"/>
              </w:rPr>
              <w:t>买入</w:t>
            </w:r>
            <w:r w:rsidRPr="00FA472B">
              <w:rPr>
                <w:color w:val="000000"/>
                <w:sz w:val="24"/>
              </w:rPr>
              <w:t>/</w:t>
            </w:r>
            <w:r w:rsidRPr="00FA472B">
              <w:rPr>
                <w:color w:val="000000"/>
                <w:sz w:val="24"/>
              </w:rPr>
              <w:t>申购总份额</w:t>
            </w:r>
          </w:p>
        </w:tc>
        <w:tc>
          <w:tcPr>
            <w:tcW w:w="2616" w:type="dxa"/>
            <w:vAlign w:val="center"/>
          </w:tcPr>
          <w:p w:rsidR="00D678E4" w:rsidRPr="00FA472B" w:rsidRDefault="00D678E4" w:rsidP="00D769A5">
            <w:pPr>
              <w:jc w:val="right"/>
              <w:rPr>
                <w:color w:val="000000"/>
                <w:kern w:val="0"/>
                <w:sz w:val="24"/>
              </w:rPr>
            </w:pPr>
            <w:r w:rsidRPr="00FA472B">
              <w:rPr>
                <w:color w:val="000000"/>
                <w:sz w:val="24"/>
              </w:rPr>
              <w:t>-</w:t>
            </w:r>
          </w:p>
        </w:tc>
        <w:tc>
          <w:tcPr>
            <w:tcW w:w="2631" w:type="dxa"/>
            <w:vAlign w:val="center"/>
          </w:tcPr>
          <w:p w:rsidR="00D678E4" w:rsidRPr="00FA472B" w:rsidRDefault="00D678E4" w:rsidP="00D769A5">
            <w:pPr>
              <w:jc w:val="right"/>
              <w:rPr>
                <w:color w:val="000000"/>
                <w:kern w:val="0"/>
                <w:sz w:val="24"/>
              </w:rPr>
            </w:pPr>
            <w:r w:rsidRPr="00FA472B">
              <w:rPr>
                <w:color w:val="000000"/>
                <w:sz w:val="24"/>
              </w:rPr>
              <w:t>-</w:t>
            </w:r>
          </w:p>
        </w:tc>
      </w:tr>
      <w:tr w:rsidR="00D678E4" w:rsidRPr="00E90B39" w:rsidTr="00D769A5">
        <w:tc>
          <w:tcPr>
            <w:tcW w:w="3167" w:type="dxa"/>
            <w:vAlign w:val="center"/>
          </w:tcPr>
          <w:p w:rsidR="00D678E4" w:rsidRPr="00FA472B" w:rsidRDefault="00D678E4" w:rsidP="00D769A5">
            <w:pPr>
              <w:adjustRightInd w:val="0"/>
              <w:snapToGrid w:val="0"/>
              <w:spacing w:line="360" w:lineRule="exact"/>
              <w:rPr>
                <w:color w:val="000000"/>
                <w:sz w:val="24"/>
              </w:rPr>
            </w:pPr>
            <w:r w:rsidRPr="003B42FF">
              <w:rPr>
                <w:rFonts w:eastAsiaTheme="minorEastAsia"/>
                <w:color w:val="000000" w:themeColor="text1"/>
                <w:kern w:val="0"/>
                <w:sz w:val="24"/>
              </w:rPr>
              <w:t>报告期期间</w:t>
            </w:r>
            <w:r w:rsidRPr="00FA472B">
              <w:rPr>
                <w:color w:val="000000"/>
                <w:kern w:val="0"/>
                <w:sz w:val="24"/>
              </w:rPr>
              <w:t>期间</w:t>
            </w:r>
            <w:r w:rsidRPr="00FA472B">
              <w:rPr>
                <w:color w:val="000000"/>
                <w:sz w:val="24"/>
              </w:rPr>
              <w:t>卖出</w:t>
            </w:r>
            <w:r w:rsidRPr="00FA472B">
              <w:rPr>
                <w:color w:val="000000"/>
                <w:sz w:val="24"/>
              </w:rPr>
              <w:t>/</w:t>
            </w:r>
            <w:r w:rsidRPr="00FA472B">
              <w:rPr>
                <w:color w:val="000000"/>
                <w:sz w:val="24"/>
              </w:rPr>
              <w:t>赎回总份额</w:t>
            </w:r>
          </w:p>
        </w:tc>
        <w:tc>
          <w:tcPr>
            <w:tcW w:w="2616" w:type="dxa"/>
            <w:vAlign w:val="center"/>
          </w:tcPr>
          <w:p w:rsidR="00D678E4" w:rsidRPr="00FA472B" w:rsidRDefault="00D678E4" w:rsidP="00D769A5">
            <w:pPr>
              <w:jc w:val="right"/>
              <w:rPr>
                <w:color w:val="000000"/>
                <w:kern w:val="0"/>
                <w:sz w:val="24"/>
              </w:rPr>
            </w:pPr>
            <w:r w:rsidRPr="00FA472B">
              <w:rPr>
                <w:color w:val="000000"/>
                <w:sz w:val="24"/>
              </w:rPr>
              <w:t>-</w:t>
            </w:r>
          </w:p>
        </w:tc>
        <w:tc>
          <w:tcPr>
            <w:tcW w:w="2631" w:type="dxa"/>
            <w:vAlign w:val="center"/>
          </w:tcPr>
          <w:p w:rsidR="00D678E4" w:rsidRPr="00FA472B" w:rsidRDefault="00D678E4" w:rsidP="00D769A5">
            <w:pPr>
              <w:jc w:val="right"/>
              <w:rPr>
                <w:color w:val="000000"/>
                <w:kern w:val="0"/>
                <w:sz w:val="24"/>
              </w:rPr>
            </w:pPr>
            <w:r w:rsidRPr="00FA472B">
              <w:rPr>
                <w:color w:val="000000"/>
                <w:sz w:val="24"/>
              </w:rPr>
              <w:t>-</w:t>
            </w:r>
          </w:p>
        </w:tc>
      </w:tr>
      <w:tr w:rsidR="00D678E4" w:rsidRPr="00E90B39" w:rsidTr="00D769A5">
        <w:tc>
          <w:tcPr>
            <w:tcW w:w="3167" w:type="dxa"/>
            <w:vAlign w:val="center"/>
          </w:tcPr>
          <w:p w:rsidR="00D678E4" w:rsidRPr="00FA472B" w:rsidRDefault="00D678E4" w:rsidP="00D769A5">
            <w:pPr>
              <w:adjustRightInd w:val="0"/>
              <w:snapToGrid w:val="0"/>
              <w:spacing w:line="360" w:lineRule="exact"/>
              <w:rPr>
                <w:color w:val="000000"/>
                <w:sz w:val="24"/>
              </w:rPr>
            </w:pPr>
            <w:r w:rsidRPr="00FA472B">
              <w:rPr>
                <w:color w:val="000000"/>
                <w:sz w:val="24"/>
              </w:rPr>
              <w:t>报告期期末管理人持有的本基金份额</w:t>
            </w:r>
          </w:p>
        </w:tc>
        <w:tc>
          <w:tcPr>
            <w:tcW w:w="2616" w:type="dxa"/>
            <w:vAlign w:val="center"/>
          </w:tcPr>
          <w:p w:rsidR="00D678E4" w:rsidRPr="00FA472B" w:rsidRDefault="00D678E4" w:rsidP="00D769A5">
            <w:pPr>
              <w:jc w:val="right"/>
              <w:rPr>
                <w:sz w:val="24"/>
              </w:rPr>
            </w:pPr>
            <w:r w:rsidRPr="00FA472B">
              <w:rPr>
                <w:color w:val="000000"/>
                <w:sz w:val="24"/>
              </w:rPr>
              <w:t>120,889.40</w:t>
            </w:r>
          </w:p>
        </w:tc>
        <w:tc>
          <w:tcPr>
            <w:tcW w:w="2631" w:type="dxa"/>
            <w:vAlign w:val="center"/>
          </w:tcPr>
          <w:p w:rsidR="00D678E4" w:rsidRPr="00FA472B" w:rsidRDefault="00D678E4" w:rsidP="00D769A5">
            <w:pPr>
              <w:jc w:val="right"/>
              <w:rPr>
                <w:sz w:val="24"/>
              </w:rPr>
            </w:pPr>
            <w:r w:rsidRPr="00FA472B">
              <w:rPr>
                <w:color w:val="000000"/>
                <w:sz w:val="24"/>
              </w:rPr>
              <w:t>-</w:t>
            </w:r>
          </w:p>
        </w:tc>
      </w:tr>
      <w:tr w:rsidR="00D678E4" w:rsidRPr="00E90B39" w:rsidTr="00D769A5">
        <w:tc>
          <w:tcPr>
            <w:tcW w:w="3167" w:type="dxa"/>
            <w:vAlign w:val="center"/>
          </w:tcPr>
          <w:p w:rsidR="00D678E4" w:rsidRPr="00FA472B" w:rsidRDefault="00D678E4" w:rsidP="00D769A5">
            <w:pPr>
              <w:adjustRightInd w:val="0"/>
              <w:snapToGrid w:val="0"/>
              <w:spacing w:line="360" w:lineRule="exact"/>
              <w:rPr>
                <w:color w:val="000000"/>
                <w:sz w:val="24"/>
              </w:rPr>
            </w:pPr>
            <w:r w:rsidRPr="00FA472B">
              <w:rPr>
                <w:color w:val="000000"/>
                <w:sz w:val="24"/>
              </w:rPr>
              <w:t>报告期期末持有的本基金份额占基金总份额比例（</w:t>
            </w:r>
            <w:r w:rsidRPr="00FA472B">
              <w:rPr>
                <w:color w:val="000000"/>
                <w:sz w:val="24"/>
              </w:rPr>
              <w:t>%</w:t>
            </w:r>
            <w:r w:rsidRPr="00FA472B">
              <w:rPr>
                <w:color w:val="000000"/>
                <w:sz w:val="24"/>
              </w:rPr>
              <w:t>）</w:t>
            </w:r>
          </w:p>
        </w:tc>
        <w:tc>
          <w:tcPr>
            <w:tcW w:w="2616" w:type="dxa"/>
            <w:vAlign w:val="center"/>
          </w:tcPr>
          <w:p w:rsidR="00D678E4" w:rsidRPr="00FA472B" w:rsidRDefault="00D678E4" w:rsidP="00D769A5">
            <w:pPr>
              <w:jc w:val="right"/>
              <w:rPr>
                <w:color w:val="000000"/>
                <w:kern w:val="0"/>
                <w:sz w:val="24"/>
              </w:rPr>
            </w:pPr>
            <w:r w:rsidRPr="00FA472B">
              <w:rPr>
                <w:color w:val="000000"/>
                <w:sz w:val="24"/>
              </w:rPr>
              <w:t>0.03</w:t>
            </w:r>
          </w:p>
        </w:tc>
        <w:tc>
          <w:tcPr>
            <w:tcW w:w="2631" w:type="dxa"/>
            <w:vAlign w:val="center"/>
          </w:tcPr>
          <w:p w:rsidR="00D678E4" w:rsidRPr="00FA472B" w:rsidRDefault="00D678E4" w:rsidP="00D769A5">
            <w:pPr>
              <w:jc w:val="right"/>
              <w:rPr>
                <w:color w:val="000000"/>
                <w:kern w:val="0"/>
                <w:sz w:val="24"/>
              </w:rPr>
            </w:pPr>
            <w:r w:rsidRPr="00FA472B">
              <w:rPr>
                <w:color w:val="000000"/>
                <w:sz w:val="24"/>
              </w:rPr>
              <w:t>-</w:t>
            </w:r>
          </w:p>
        </w:tc>
      </w:tr>
    </w:tbl>
    <w:p w:rsidR="00BB5F3D" w:rsidRPr="00D678E4" w:rsidRDefault="00BB5F3D" w:rsidP="00BB5F3D">
      <w:pPr>
        <w:autoSpaceDE w:val="0"/>
        <w:autoSpaceDN w:val="0"/>
        <w:adjustRightInd w:val="0"/>
        <w:spacing w:line="360" w:lineRule="auto"/>
        <w:jc w:val="left"/>
        <w:rPr>
          <w:rFonts w:eastAsiaTheme="minorEastAsia"/>
          <w:color w:val="000000" w:themeColor="text1"/>
          <w:szCs w:val="21"/>
        </w:rPr>
      </w:pPr>
    </w:p>
    <w:p w:rsidR="00BB5F3D" w:rsidRPr="00A3398F" w:rsidRDefault="00BB5F3D" w:rsidP="00BB5F3D">
      <w:pPr>
        <w:spacing w:line="360" w:lineRule="auto"/>
        <w:jc w:val="left"/>
        <w:rPr>
          <w:rFonts w:eastAsiaTheme="minorEastAsia"/>
          <w:b/>
          <w:color w:val="000000" w:themeColor="text1"/>
          <w:sz w:val="24"/>
        </w:rPr>
      </w:pPr>
      <w:r w:rsidRPr="00A3398F">
        <w:rPr>
          <w:rFonts w:eastAsiaTheme="minorEastAsia"/>
          <w:b/>
          <w:color w:val="000000" w:themeColor="text1"/>
          <w:sz w:val="24"/>
        </w:rPr>
        <w:t xml:space="preserve">7.2 </w:t>
      </w:r>
      <w:r w:rsidRPr="00A3398F">
        <w:rPr>
          <w:rFonts w:eastAsiaTheme="minorEastAsia"/>
          <w:b/>
          <w:color w:val="000000" w:themeColor="text1"/>
          <w:sz w:val="24"/>
        </w:rPr>
        <w:t>基金管理人运用固有资金投资本基金交易明细</w:t>
      </w:r>
    </w:p>
    <w:p w:rsidR="005E64DA" w:rsidRPr="00A3398F" w:rsidRDefault="00BB5F3D" w:rsidP="005E64DA">
      <w:pPr>
        <w:autoSpaceDE w:val="0"/>
        <w:autoSpaceDN w:val="0"/>
        <w:adjustRightInd w:val="0"/>
        <w:spacing w:line="360" w:lineRule="auto"/>
        <w:jc w:val="left"/>
        <w:rPr>
          <w:rFonts w:eastAsiaTheme="minorEastAsia"/>
          <w:color w:val="000000" w:themeColor="text1"/>
          <w:szCs w:val="21"/>
        </w:rPr>
      </w:pPr>
      <w:r w:rsidRPr="00A3398F">
        <w:rPr>
          <w:rFonts w:eastAsiaTheme="minorEastAsia"/>
          <w:color w:val="000000" w:themeColor="text1"/>
          <w:szCs w:val="21"/>
        </w:rPr>
        <w:t>无。</w:t>
      </w:r>
    </w:p>
    <w:p w:rsidR="0076518F" w:rsidRPr="00A3398F" w:rsidRDefault="0076518F" w:rsidP="009E705F">
      <w:pPr>
        <w:pStyle w:val="1"/>
        <w:spacing w:beforeLines="100" w:before="312" w:afterLines="100" w:after="312" w:line="360" w:lineRule="auto"/>
        <w:jc w:val="center"/>
        <w:rPr>
          <w:rFonts w:eastAsiaTheme="minorEastAsia"/>
          <w:color w:val="000000" w:themeColor="text1"/>
          <w:kern w:val="0"/>
          <w:sz w:val="24"/>
          <w:szCs w:val="24"/>
        </w:rPr>
      </w:pPr>
      <w:r w:rsidRPr="00A3398F">
        <w:rPr>
          <w:rFonts w:eastAsiaTheme="minorEastAsia"/>
          <w:color w:val="000000" w:themeColor="text1"/>
          <w:kern w:val="0"/>
          <w:sz w:val="24"/>
          <w:szCs w:val="24"/>
        </w:rPr>
        <w:lastRenderedPageBreak/>
        <w:t>§</w:t>
      </w:r>
      <w:r w:rsidR="002711AA" w:rsidRPr="00A3398F">
        <w:rPr>
          <w:rFonts w:eastAsiaTheme="minorEastAsia"/>
          <w:color w:val="000000" w:themeColor="text1"/>
          <w:kern w:val="0"/>
          <w:sz w:val="24"/>
          <w:szCs w:val="24"/>
        </w:rPr>
        <w:t>8</w:t>
      </w:r>
      <w:r w:rsidRPr="00A3398F">
        <w:rPr>
          <w:rFonts w:eastAsiaTheme="minorEastAsia"/>
          <w:color w:val="000000" w:themeColor="text1"/>
          <w:kern w:val="0"/>
          <w:sz w:val="24"/>
          <w:szCs w:val="24"/>
        </w:rPr>
        <w:t xml:space="preserve"> </w:t>
      </w:r>
      <w:r w:rsidRPr="00A3398F">
        <w:rPr>
          <w:rFonts w:eastAsiaTheme="minorEastAsia"/>
          <w:color w:val="000000" w:themeColor="text1"/>
          <w:kern w:val="0"/>
          <w:sz w:val="24"/>
          <w:szCs w:val="24"/>
        </w:rPr>
        <w:t>备查文件目录</w:t>
      </w: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1</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备查文件目录</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基金合同》；</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托管协议》；</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233BAF" w:rsidRDefault="00857069">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7</w:t>
      </w:r>
      <w:r w:rsidRPr="00A3398F">
        <w:rPr>
          <w:rFonts w:eastAsiaTheme="minorEastAsia"/>
          <w:color w:val="000000" w:themeColor="text1"/>
          <w:szCs w:val="21"/>
        </w:rPr>
        <w:t>、中国证监会要求的其他文件。</w:t>
      </w:r>
    </w:p>
    <w:p w:rsidR="008A2EC6" w:rsidRPr="00A3398F" w:rsidRDefault="008A2EC6" w:rsidP="000C7596">
      <w:pPr>
        <w:spacing w:line="360" w:lineRule="auto"/>
        <w:ind w:firstLineChars="200" w:firstLine="480"/>
        <w:rPr>
          <w:rFonts w:eastAsiaTheme="minorEastAsia"/>
          <w:color w:val="000000" w:themeColor="text1"/>
          <w:sz w:val="24"/>
        </w:rPr>
      </w:pP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2</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存放地点</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基金管理人或基金托管人住所。</w:t>
      </w:r>
    </w:p>
    <w:p w:rsidR="008A2EC6" w:rsidRPr="00A3398F" w:rsidRDefault="008A2EC6" w:rsidP="000C7596">
      <w:pPr>
        <w:spacing w:line="360" w:lineRule="auto"/>
        <w:ind w:firstLineChars="200" w:firstLine="480"/>
        <w:rPr>
          <w:rFonts w:eastAsiaTheme="minorEastAsia"/>
          <w:color w:val="000000" w:themeColor="text1"/>
          <w:sz w:val="24"/>
        </w:rPr>
      </w:pPr>
    </w:p>
    <w:p w:rsidR="008975BC" w:rsidRPr="00A3398F" w:rsidRDefault="00280566" w:rsidP="000C7596">
      <w:pPr>
        <w:autoSpaceDE w:val="0"/>
        <w:autoSpaceDN w:val="0"/>
        <w:adjustRightInd w:val="0"/>
        <w:spacing w:line="360" w:lineRule="auto"/>
        <w:jc w:val="left"/>
        <w:rPr>
          <w:rFonts w:eastAsiaTheme="minorEastAsia"/>
          <w:b/>
          <w:bCs/>
          <w:color w:val="000000" w:themeColor="text1"/>
          <w:kern w:val="0"/>
          <w:sz w:val="24"/>
        </w:rPr>
      </w:pPr>
      <w:r w:rsidRPr="00A3398F">
        <w:rPr>
          <w:rFonts w:eastAsiaTheme="minorEastAsia"/>
          <w:b/>
          <w:bCs/>
          <w:color w:val="000000" w:themeColor="text1"/>
          <w:kern w:val="0"/>
          <w:sz w:val="24"/>
        </w:rPr>
        <w:t>8</w:t>
      </w:r>
      <w:r w:rsidR="008975BC" w:rsidRPr="00A3398F">
        <w:rPr>
          <w:rFonts w:eastAsiaTheme="minorEastAsia"/>
          <w:b/>
          <w:bCs/>
          <w:color w:val="000000" w:themeColor="text1"/>
          <w:kern w:val="0"/>
          <w:sz w:val="24"/>
        </w:rPr>
        <w:t>.</w:t>
      </w:r>
      <w:r w:rsidR="00376A15" w:rsidRPr="00A3398F">
        <w:rPr>
          <w:rFonts w:eastAsiaTheme="minorEastAsia"/>
          <w:b/>
          <w:bCs/>
          <w:color w:val="000000" w:themeColor="text1"/>
          <w:kern w:val="0"/>
          <w:sz w:val="24"/>
        </w:rPr>
        <w:t>3</w:t>
      </w:r>
      <w:r w:rsidR="008975BC" w:rsidRPr="00A3398F">
        <w:rPr>
          <w:rFonts w:eastAsiaTheme="minorEastAsia"/>
          <w:b/>
          <w:bCs/>
          <w:color w:val="000000" w:themeColor="text1"/>
          <w:kern w:val="0"/>
          <w:sz w:val="24"/>
        </w:rPr>
        <w:t xml:space="preserve"> </w:t>
      </w:r>
      <w:r w:rsidR="008975BC" w:rsidRPr="00A3398F">
        <w:rPr>
          <w:rFonts w:eastAsiaTheme="minorEastAsia"/>
          <w:b/>
          <w:bCs/>
          <w:color w:val="000000" w:themeColor="text1"/>
          <w:kern w:val="0"/>
          <w:sz w:val="24"/>
        </w:rPr>
        <w:t>查阅方式</w:t>
      </w:r>
    </w:p>
    <w:p w:rsidR="008975BC" w:rsidRPr="00A3398F" w:rsidRDefault="008975BC" w:rsidP="007D5584">
      <w:pPr>
        <w:spacing w:line="360" w:lineRule="auto"/>
        <w:ind w:firstLineChars="200" w:firstLine="420"/>
        <w:rPr>
          <w:rFonts w:eastAsiaTheme="minorEastAsia"/>
          <w:color w:val="000000" w:themeColor="text1"/>
          <w:szCs w:val="21"/>
        </w:rPr>
      </w:pPr>
      <w:r w:rsidRPr="00A3398F">
        <w:rPr>
          <w:rFonts w:eastAsiaTheme="minorEastAsia"/>
          <w:color w:val="000000" w:themeColor="text1"/>
          <w:szCs w:val="21"/>
        </w:rPr>
        <w:t>投资者可在营业时间免费查阅，也可按工本费购买复印件。</w:t>
      </w:r>
    </w:p>
    <w:p w:rsidR="0076518F" w:rsidRPr="00A3398F" w:rsidRDefault="0076518F" w:rsidP="008B6A4A">
      <w:pPr>
        <w:spacing w:line="360" w:lineRule="auto"/>
        <w:ind w:firstLineChars="200" w:firstLine="480"/>
        <w:rPr>
          <w:rFonts w:eastAsiaTheme="minorEastAsia"/>
          <w:color w:val="000000" w:themeColor="text1"/>
          <w:sz w:val="24"/>
        </w:rPr>
      </w:pPr>
    </w:p>
    <w:p w:rsidR="008A2EC6" w:rsidRPr="00A3398F" w:rsidRDefault="008A2EC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0C7596" w:rsidRPr="00A3398F" w:rsidRDefault="000C7596" w:rsidP="008B6A4A">
      <w:pPr>
        <w:spacing w:line="360" w:lineRule="auto"/>
        <w:ind w:firstLineChars="200" w:firstLine="480"/>
        <w:rPr>
          <w:rFonts w:eastAsiaTheme="minorEastAsia"/>
          <w:color w:val="000000" w:themeColor="text1"/>
          <w:sz w:val="24"/>
        </w:rPr>
      </w:pPr>
    </w:p>
    <w:p w:rsidR="0076518F" w:rsidRPr="00A3398F" w:rsidRDefault="0076518F" w:rsidP="008B6A4A">
      <w:pPr>
        <w:spacing w:line="360" w:lineRule="auto"/>
        <w:ind w:firstLineChars="200" w:firstLine="480"/>
        <w:rPr>
          <w:rFonts w:eastAsiaTheme="minorEastAsia"/>
          <w:color w:val="000000" w:themeColor="text1"/>
          <w:sz w:val="24"/>
        </w:rPr>
      </w:pPr>
    </w:p>
    <w:p w:rsidR="008975BC" w:rsidRPr="00A3398F" w:rsidRDefault="008975BC" w:rsidP="000C7596">
      <w:pPr>
        <w:spacing w:line="360" w:lineRule="auto"/>
        <w:jc w:val="right"/>
        <w:rPr>
          <w:rFonts w:eastAsiaTheme="minorEastAsia"/>
          <w:b/>
          <w:bCs/>
          <w:color w:val="000000" w:themeColor="text1"/>
          <w:sz w:val="24"/>
        </w:rPr>
      </w:pPr>
      <w:r w:rsidRPr="00A3398F">
        <w:rPr>
          <w:rFonts w:eastAsiaTheme="minorEastAsia"/>
          <w:b/>
          <w:bCs/>
          <w:color w:val="000000" w:themeColor="text1"/>
          <w:sz w:val="24"/>
        </w:rPr>
        <w:t>摩根基金管理（中国）有限公司</w:t>
      </w:r>
    </w:p>
    <w:p w:rsidR="0076518F" w:rsidRPr="00A3398F" w:rsidRDefault="00623556" w:rsidP="000C7596">
      <w:pPr>
        <w:spacing w:line="360" w:lineRule="auto"/>
        <w:jc w:val="right"/>
        <w:rPr>
          <w:rFonts w:eastAsiaTheme="minorEastAsia"/>
          <w:b/>
          <w:bCs/>
          <w:color w:val="000000" w:themeColor="text1"/>
          <w:sz w:val="24"/>
        </w:rPr>
      </w:pPr>
      <w:r w:rsidRPr="00A3398F">
        <w:rPr>
          <w:rFonts w:eastAsiaTheme="minorEastAsia"/>
          <w:b/>
          <w:bCs/>
          <w:color w:val="000000" w:themeColor="text1"/>
          <w:sz w:val="24"/>
        </w:rPr>
        <w:t>二〇二四年四月二十二日</w:t>
      </w:r>
    </w:p>
    <w:sectPr w:rsidR="0076518F" w:rsidRPr="00A3398F" w:rsidSect="00DB4450">
      <w:headerReference w:type="even" r:id="rId11"/>
      <w:footerReference w:type="even" r:id="rId12"/>
      <w:footerReference w:type="default" r:id="rId13"/>
      <w:headerReference w:type="first" r:id="rId14"/>
      <w:footerReference w:type="firs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FC" w:rsidRDefault="002F74FC">
      <w:r>
        <w:separator/>
      </w:r>
    </w:p>
  </w:endnote>
  <w:endnote w:type="continuationSeparator" w:id="0">
    <w:p w:rsidR="002F74FC" w:rsidRDefault="002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Pr="001D0DB0" w:rsidRDefault="00EF4716" w:rsidP="00B918B8">
    <w:pPr>
      <w:pStyle w:val="a7"/>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90D6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90D6A">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F4716" w:rsidRDefault="00EF47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90D6A">
      <w:rPr>
        <w:rStyle w:val="a8"/>
        <w:noProof/>
      </w:rPr>
      <w:t>13</w:t>
    </w:r>
    <w:r>
      <w:rPr>
        <w:rStyle w:val="a8"/>
      </w:rPr>
      <w:fldChar w:fldCharType="end"/>
    </w:r>
  </w:p>
  <w:p w:rsidR="00EF4716" w:rsidRDefault="00EF471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FC" w:rsidRDefault="002F74FC">
      <w:r>
        <w:separator/>
      </w:r>
    </w:p>
  </w:footnote>
  <w:footnote w:type="continuationSeparator" w:id="0">
    <w:p w:rsidR="002F74FC" w:rsidRDefault="002F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Pr="006669C9" w:rsidRDefault="00EF4716" w:rsidP="001D1356">
    <w:pPr>
      <w:pStyle w:val="aa"/>
      <w:pBdr>
        <w:bottom w:val="single" w:sz="6" w:space="0" w:color="auto"/>
      </w:pBdr>
      <w:jc w:val="right"/>
    </w:pPr>
    <w:r w:rsidRPr="006669C9">
      <w:t>摩根全球多元配置证券投资基金</w:t>
    </w:r>
    <w:r w:rsidRPr="006669C9">
      <w:t>(QDII-FOF)2024</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16" w:rsidRDefault="00EF471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10"/>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0DD6"/>
    <w:rsid w:val="0007171B"/>
    <w:rsid w:val="00081D05"/>
    <w:rsid w:val="000876A0"/>
    <w:rsid w:val="00087CF7"/>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C27"/>
    <w:rsid w:val="00126DDF"/>
    <w:rsid w:val="001270BF"/>
    <w:rsid w:val="00127BAC"/>
    <w:rsid w:val="00142A56"/>
    <w:rsid w:val="00143B45"/>
    <w:rsid w:val="00144DF5"/>
    <w:rsid w:val="00145A97"/>
    <w:rsid w:val="00146485"/>
    <w:rsid w:val="00150AD6"/>
    <w:rsid w:val="001542CC"/>
    <w:rsid w:val="00154ADA"/>
    <w:rsid w:val="0015531A"/>
    <w:rsid w:val="0016041C"/>
    <w:rsid w:val="00163369"/>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5051"/>
    <w:rsid w:val="002273CA"/>
    <w:rsid w:val="00233B7F"/>
    <w:rsid w:val="00233BAF"/>
    <w:rsid w:val="002347A7"/>
    <w:rsid w:val="002359EB"/>
    <w:rsid w:val="002363AB"/>
    <w:rsid w:val="0024203E"/>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000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2F74FC"/>
    <w:rsid w:val="00300951"/>
    <w:rsid w:val="00302CA8"/>
    <w:rsid w:val="00302DE9"/>
    <w:rsid w:val="00304106"/>
    <w:rsid w:val="00304E5A"/>
    <w:rsid w:val="00304E97"/>
    <w:rsid w:val="00305084"/>
    <w:rsid w:val="0031104D"/>
    <w:rsid w:val="00311094"/>
    <w:rsid w:val="0031598C"/>
    <w:rsid w:val="00316339"/>
    <w:rsid w:val="003204E9"/>
    <w:rsid w:val="00321E8C"/>
    <w:rsid w:val="00322A5E"/>
    <w:rsid w:val="00322A86"/>
    <w:rsid w:val="00323AE8"/>
    <w:rsid w:val="00324548"/>
    <w:rsid w:val="003251F4"/>
    <w:rsid w:val="003303E3"/>
    <w:rsid w:val="003329EA"/>
    <w:rsid w:val="003371D0"/>
    <w:rsid w:val="003376D5"/>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0FB5"/>
    <w:rsid w:val="003822D3"/>
    <w:rsid w:val="00386630"/>
    <w:rsid w:val="00390B25"/>
    <w:rsid w:val="00395BC9"/>
    <w:rsid w:val="00396E32"/>
    <w:rsid w:val="00397156"/>
    <w:rsid w:val="00397616"/>
    <w:rsid w:val="00397960"/>
    <w:rsid w:val="003A080A"/>
    <w:rsid w:val="003A30B8"/>
    <w:rsid w:val="003A3BC4"/>
    <w:rsid w:val="003A458A"/>
    <w:rsid w:val="003B2F13"/>
    <w:rsid w:val="003B405E"/>
    <w:rsid w:val="003B57D3"/>
    <w:rsid w:val="003C1F58"/>
    <w:rsid w:val="003C6BB7"/>
    <w:rsid w:val="003C792F"/>
    <w:rsid w:val="003D0053"/>
    <w:rsid w:val="003D124B"/>
    <w:rsid w:val="003D18F3"/>
    <w:rsid w:val="003D70D1"/>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1686F"/>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D6A"/>
    <w:rsid w:val="00590FE4"/>
    <w:rsid w:val="005914B6"/>
    <w:rsid w:val="00591D9C"/>
    <w:rsid w:val="00592EFF"/>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453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14E07"/>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5601A"/>
    <w:rsid w:val="00656776"/>
    <w:rsid w:val="00661974"/>
    <w:rsid w:val="00662D4B"/>
    <w:rsid w:val="00664551"/>
    <w:rsid w:val="00664F49"/>
    <w:rsid w:val="006658FA"/>
    <w:rsid w:val="00666066"/>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B02DA"/>
    <w:rsid w:val="006B077E"/>
    <w:rsid w:val="006B1FD1"/>
    <w:rsid w:val="006B2065"/>
    <w:rsid w:val="006B2F2B"/>
    <w:rsid w:val="006B3940"/>
    <w:rsid w:val="006B47D1"/>
    <w:rsid w:val="006C0411"/>
    <w:rsid w:val="006C124D"/>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7772"/>
    <w:rsid w:val="00721AF1"/>
    <w:rsid w:val="0072280F"/>
    <w:rsid w:val="00722B5E"/>
    <w:rsid w:val="0072708F"/>
    <w:rsid w:val="00730500"/>
    <w:rsid w:val="00732D1D"/>
    <w:rsid w:val="00736034"/>
    <w:rsid w:val="00736479"/>
    <w:rsid w:val="0073681C"/>
    <w:rsid w:val="00741EB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292"/>
    <w:rsid w:val="008456C9"/>
    <w:rsid w:val="0084611D"/>
    <w:rsid w:val="00850C62"/>
    <w:rsid w:val="00852E6D"/>
    <w:rsid w:val="00857069"/>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6B5B"/>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37"/>
    <w:rsid w:val="009309DA"/>
    <w:rsid w:val="0093260B"/>
    <w:rsid w:val="00936688"/>
    <w:rsid w:val="00936891"/>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E705F"/>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398F"/>
    <w:rsid w:val="00A35B79"/>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A5FB8"/>
    <w:rsid w:val="00BB1EB3"/>
    <w:rsid w:val="00BB2678"/>
    <w:rsid w:val="00BB531E"/>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07BF8"/>
    <w:rsid w:val="00C104CC"/>
    <w:rsid w:val="00C130C1"/>
    <w:rsid w:val="00C14142"/>
    <w:rsid w:val="00C152FE"/>
    <w:rsid w:val="00C16739"/>
    <w:rsid w:val="00C22CCE"/>
    <w:rsid w:val="00C23BA2"/>
    <w:rsid w:val="00C25D0C"/>
    <w:rsid w:val="00C32AF2"/>
    <w:rsid w:val="00C33204"/>
    <w:rsid w:val="00C338EB"/>
    <w:rsid w:val="00C33E2E"/>
    <w:rsid w:val="00C3465D"/>
    <w:rsid w:val="00C3494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D25DA"/>
    <w:rsid w:val="00CE3C13"/>
    <w:rsid w:val="00CE4499"/>
    <w:rsid w:val="00CE45E9"/>
    <w:rsid w:val="00CE5277"/>
    <w:rsid w:val="00CE6358"/>
    <w:rsid w:val="00CE7FC6"/>
    <w:rsid w:val="00CF0C6C"/>
    <w:rsid w:val="00CF2347"/>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10E8"/>
    <w:rsid w:val="00D33751"/>
    <w:rsid w:val="00D36F6E"/>
    <w:rsid w:val="00D37343"/>
    <w:rsid w:val="00D4205E"/>
    <w:rsid w:val="00D565EC"/>
    <w:rsid w:val="00D61982"/>
    <w:rsid w:val="00D6226F"/>
    <w:rsid w:val="00D6267A"/>
    <w:rsid w:val="00D674CF"/>
    <w:rsid w:val="00D678DF"/>
    <w:rsid w:val="00D678E4"/>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27344"/>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50C2"/>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1749"/>
    <w:rsid w:val="00EE2ACE"/>
    <w:rsid w:val="00EE4874"/>
    <w:rsid w:val="00EE79A6"/>
    <w:rsid w:val="00EE7FB4"/>
    <w:rsid w:val="00EF0D26"/>
    <w:rsid w:val="00EF0D86"/>
    <w:rsid w:val="00EF22FE"/>
    <w:rsid w:val="00EF4716"/>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27040"/>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195"/>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7"/>
    <o:shapelayout v:ext="edit">
      <o:idmap v:ext="edit" data="1"/>
    </o:shapelayout>
  </w:shapeDefault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907810778">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10230114">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116</TotalTime>
  <Pages>15</Pages>
  <Words>1374</Words>
  <Characters>7835</Characters>
  <Application>Microsoft Office Word</Application>
  <DocSecurity>0</DocSecurity>
  <Lines>65</Lines>
  <Paragraphs>18</Paragraphs>
  <ScaleCrop>false</ScaleCrop>
  <Company>TRT. Ltd. Co.</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36</cp:revision>
  <cp:lastPrinted>2007-07-19T00:46:00Z</cp:lastPrinted>
  <dcterms:created xsi:type="dcterms:W3CDTF">2014-12-16T02:40:00Z</dcterms:created>
  <dcterms:modified xsi:type="dcterms:W3CDTF">2024-04-19T02:37:00Z</dcterms:modified>
</cp:coreProperties>
</file>